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7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侯马市人民政府办公室</w:t>
      </w:r>
    </w:p>
    <w:p>
      <w:pPr>
        <w:keepNext w:val="0"/>
        <w:keepLines w:val="0"/>
        <w:pageBreakBefore w:val="0"/>
        <w:widowControl w:val="0"/>
        <w:kinsoku/>
        <w:wordWrap/>
        <w:overflowPunct w:val="0"/>
        <w:topLinePunct w:val="0"/>
        <w:autoSpaceDE w:val="0"/>
        <w:autoSpaceDN w:val="0"/>
        <w:bidi w:val="0"/>
        <w:adjustRightInd/>
        <w:snapToGrid/>
        <w:spacing w:after="0" w:line="7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关于对</w:t>
      </w:r>
      <w:r>
        <w:rPr>
          <w:rFonts w:hint="eastAsia" w:ascii="方正小标宋简体" w:hAnsi="方正小标宋简体" w:eastAsia="方正小标宋简体" w:cs="方正小标宋简体"/>
          <w:sz w:val="44"/>
          <w:szCs w:val="44"/>
          <w:lang w:val="en-US" w:eastAsia="zh-CN"/>
        </w:rPr>
        <w:t>《侯马市农村生活污水收集处理</w:t>
      </w:r>
    </w:p>
    <w:p>
      <w:pPr>
        <w:keepNext w:val="0"/>
        <w:keepLines w:val="0"/>
        <w:pageBreakBefore w:val="0"/>
        <w:widowControl w:val="0"/>
        <w:kinsoku/>
        <w:wordWrap/>
        <w:overflowPunct w:val="0"/>
        <w:topLinePunct w:val="0"/>
        <w:autoSpaceDE w:val="0"/>
        <w:autoSpaceDN w:val="0"/>
        <w:bidi w:val="0"/>
        <w:adjustRightInd/>
        <w:snapToGrid/>
        <w:spacing w:after="0" w:line="70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val="en-US" w:eastAsia="zh-CN"/>
        </w:rPr>
        <w:t>设施运行维护管理办法》</w:t>
      </w:r>
      <w:r>
        <w:rPr>
          <w:rFonts w:hint="eastAsia" w:ascii="方正小标宋简体" w:hAnsi="方正小标宋简体" w:eastAsia="方正小标宋简体" w:cs="方正小标宋简体"/>
          <w:sz w:val="44"/>
          <w:szCs w:val="44"/>
          <w:lang w:eastAsia="zh-CN"/>
        </w:rPr>
        <w:t>的起草说明</w:t>
      </w: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atLeas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为进一步规范和加强</w:t>
      </w:r>
      <w:r>
        <w:rPr>
          <w:rFonts w:hint="eastAsia" w:ascii="仿宋_GB2312" w:hAnsi="仿宋_GB2312" w:eastAsia="仿宋_GB2312" w:cs="仿宋_GB2312"/>
          <w:sz w:val="32"/>
          <w:szCs w:val="32"/>
          <w:lang w:val="en-US" w:eastAsia="zh-CN"/>
        </w:rPr>
        <w:t>侯马市</w:t>
      </w:r>
      <w:r>
        <w:rPr>
          <w:rFonts w:hint="eastAsia" w:ascii="仿宋_GB2312" w:hAnsi="仿宋_GB2312" w:eastAsia="仿宋_GB2312" w:cs="仿宋_GB2312"/>
          <w:sz w:val="32"/>
          <w:szCs w:val="32"/>
        </w:rPr>
        <w:t>农村生活污水收集处理设施运行维护管理，提高运行效率和管理水平，</w:t>
      </w:r>
      <w:r>
        <w:rPr>
          <w:rFonts w:hint="eastAsia" w:ascii="仿宋_GB2312" w:hAnsi="仿宋_GB2312" w:eastAsia="仿宋_GB2312" w:cs="仿宋_GB2312"/>
          <w:sz w:val="32"/>
          <w:szCs w:val="32"/>
          <w:lang w:val="en-US" w:eastAsia="zh-CN"/>
        </w:rPr>
        <w:t>结合我市实际，起草了《侯马市农村生活污水收集处理设施运行维护管理办法》，现将有关情况说明如下：</w:t>
      </w:r>
    </w:p>
    <w:p>
      <w:pPr>
        <w:keepNext w:val="0"/>
        <w:keepLines w:val="0"/>
        <w:pageBreakBefore w:val="0"/>
        <w:widowControl w:val="0"/>
        <w:numPr>
          <w:ilvl w:val="0"/>
          <w:numId w:val="1"/>
        </w:numPr>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atLeas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制定文件的必要性</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atLeas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侯马市</w:t>
      </w:r>
      <w:r>
        <w:rPr>
          <w:rFonts w:hint="eastAsia" w:ascii="仿宋_GB2312" w:hAnsi="仿宋_GB2312" w:eastAsia="仿宋_GB2312" w:cs="仿宋_GB2312"/>
          <w:sz w:val="32"/>
          <w:szCs w:val="32"/>
          <w:lang w:val="en-US" w:eastAsia="zh-CN"/>
        </w:rPr>
        <w:t>已分两批建设了农村污水处理站，同时逐步推进农村生活污水未治理村庄收集处理设施的建设，目前已委托第三方公司对已建成农村污水处理站运维</w:t>
      </w:r>
      <w:r>
        <w:rPr>
          <w:rFonts w:hint="eastAsia" w:ascii="仿宋_GB2312" w:hAnsi="仿宋_GB2312" w:eastAsia="仿宋_GB2312" w:cs="仿宋_GB2312"/>
          <w:sz w:val="32"/>
          <w:szCs w:val="32"/>
          <w:lang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atLeas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为进一步明确各单位在农村污水收集处理设施建设及维护管理责任，规范第三方公司运维管理，同时根据上级要求急需制定《侯马市农村生活污水收集处理设施运行维护管理办法》</w:t>
      </w:r>
      <w:r>
        <w:rPr>
          <w:rFonts w:hint="eastAsia" w:ascii="仿宋_GB2312" w:hAnsi="仿宋_GB2312" w:eastAsia="仿宋_GB2312" w:cs="仿宋_GB2312"/>
          <w:sz w:val="32"/>
          <w:szCs w:val="32"/>
          <w:lang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atLeas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本项目的实施，</w:t>
      </w:r>
      <w:r>
        <w:rPr>
          <w:rFonts w:hint="eastAsia" w:ascii="仿宋_GB2312" w:hAnsi="仿宋_GB2312" w:eastAsia="仿宋_GB2312" w:cs="仿宋_GB2312"/>
          <w:sz w:val="32"/>
          <w:szCs w:val="32"/>
          <w:lang w:val="en-US" w:eastAsia="zh-CN"/>
        </w:rPr>
        <w:t>能有效规范农村生活污水收集处理设施的建设、维护管理工作，确保农村生活污水达标排放，改善农村人居环境</w:t>
      </w:r>
      <w:r>
        <w:rPr>
          <w:rFonts w:hint="eastAsia" w:ascii="仿宋_GB2312" w:hAnsi="仿宋_GB2312" w:eastAsia="仿宋_GB2312" w:cs="仿宋_GB2312"/>
          <w:sz w:val="32"/>
          <w:szCs w:val="32"/>
          <w:lang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atLeas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二、起草依据</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本文件依据山西省生态环境厅等6个厅局联合印发的《关于印发〈农村生活污水收集处理设施运行维护管理办法〉》文件。</w:t>
      </w: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w:t>
      </w:r>
      <w:r>
        <w:rPr>
          <w:rFonts w:hint="eastAsia" w:ascii="黑体" w:hAnsi="黑体" w:eastAsia="黑体" w:cs="黑体"/>
          <w:sz w:val="32"/>
          <w:szCs w:val="32"/>
        </w:rPr>
        <w:t>、</w:t>
      </w:r>
      <w:r>
        <w:rPr>
          <w:rFonts w:hint="eastAsia" w:ascii="黑体" w:hAnsi="黑体" w:eastAsia="黑体" w:cs="黑体"/>
          <w:sz w:val="32"/>
          <w:szCs w:val="32"/>
          <w:lang w:val="en-US" w:eastAsia="zh-CN"/>
        </w:rPr>
        <w:t>起草过程</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2023年4月，临汾市生态环境保护委员会办公室将山西省生态环境厅等6个厅局联合印发的《关于印发〈农村生活污水收集处理设施运行维护管理办法〉》文件转发各县市区，要求各县市区结合实际，制定出台本地农村生活污水收集处理设施运行维护管理办法。</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因我市2022年7月已出台了《侯马市农村生活污水收集处理设施运行维护管理办法》（有效期截止2024年）。</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Cs/>
          <w:sz w:val="32"/>
          <w:szCs w:val="32"/>
          <w:lang w:val="en-US" w:eastAsia="zh-CN"/>
        </w:rPr>
        <w:t>为此，2024年7月，经认真研究，草拟了《侯马市农村生活污水收集处理设施运行维护管理办法》，同时以书面形式</w:t>
      </w:r>
      <w:r>
        <w:rPr>
          <w:rFonts w:hint="eastAsia" w:ascii="仿宋_GB2312" w:hAnsi="仿宋_GB2312" w:eastAsia="仿宋_GB2312" w:cs="仿宋_GB2312"/>
          <w:sz w:val="32"/>
          <w:szCs w:val="32"/>
          <w:lang w:val="en-US" w:eastAsia="zh-CN"/>
        </w:rPr>
        <w:t>征求了侯马市司法局、侯马市财政局等单位</w:t>
      </w:r>
      <w:r>
        <w:rPr>
          <w:rFonts w:hint="eastAsia" w:ascii="仿宋_GB2312" w:hAnsi="仿宋_GB2312" w:eastAsia="仿宋_GB2312" w:cs="仿宋_GB2312"/>
          <w:sz w:val="32"/>
          <w:szCs w:val="32"/>
          <w:lang w:eastAsia="zh-CN"/>
        </w:rPr>
        <w:t>意见，</w:t>
      </w:r>
      <w:r>
        <w:rPr>
          <w:rFonts w:hint="eastAsia" w:ascii="仿宋_GB2312" w:hAnsi="仿宋_GB2312" w:eastAsia="仿宋_GB2312" w:cs="仿宋_GB2312"/>
          <w:bCs/>
          <w:sz w:val="32"/>
          <w:szCs w:val="32"/>
          <w:lang w:val="en-US" w:eastAsia="zh-CN"/>
        </w:rPr>
        <w:t>。</w:t>
      </w: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w:t>
      </w:r>
      <w:r>
        <w:rPr>
          <w:rFonts w:hint="eastAsia" w:ascii="黑体" w:hAnsi="黑体" w:eastAsia="黑体" w:cs="黑体"/>
          <w:sz w:val="32"/>
          <w:szCs w:val="32"/>
        </w:rPr>
        <w:t>、</w:t>
      </w:r>
      <w:r>
        <w:rPr>
          <w:rFonts w:hint="eastAsia" w:ascii="黑体" w:hAnsi="黑体" w:eastAsia="黑体" w:cs="黑体"/>
          <w:sz w:val="32"/>
          <w:szCs w:val="32"/>
          <w:lang w:val="en-US" w:eastAsia="zh-CN"/>
        </w:rPr>
        <w:t>征求意见汇总情况</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val="en-US" w:eastAsia="zh-CN"/>
        </w:rPr>
        <w:t>2024年7月18日，</w:t>
      </w:r>
      <w:r>
        <w:rPr>
          <w:rFonts w:hint="eastAsia" w:ascii="仿宋_GB2312" w:hAnsi="仿宋_GB2312" w:eastAsia="仿宋_GB2312" w:cs="仿宋_GB2312"/>
          <w:sz w:val="32"/>
          <w:szCs w:val="32"/>
          <w:lang w:val="en-US" w:eastAsia="zh-CN"/>
        </w:rPr>
        <w:t>征求了侯马市司法局、侯马市财政局、侯马市水务局、侯马市农业农村局、侯马市住建局、侯马市发改局、上马街道办事处、张村街道办事处、新田乡、凤城乡、高村乡等单位</w:t>
      </w:r>
      <w:r>
        <w:rPr>
          <w:rFonts w:hint="eastAsia" w:ascii="仿宋_GB2312" w:hAnsi="仿宋_GB2312" w:eastAsia="仿宋_GB2312" w:cs="仿宋_GB2312"/>
          <w:sz w:val="32"/>
          <w:szCs w:val="32"/>
          <w:lang w:eastAsia="zh-CN"/>
        </w:rPr>
        <w:t>意见。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除侯马市财政局提出意见外，其余部门和乡办无意见，对相关单位意见采纳后</w:t>
      </w:r>
      <w:r>
        <w:rPr>
          <w:rFonts w:hint="eastAsia" w:ascii="仿宋_GB2312" w:hAnsi="仿宋_GB2312" w:eastAsia="仿宋_GB2312" w:cs="仿宋_GB2312"/>
          <w:bCs/>
          <w:sz w:val="32"/>
          <w:szCs w:val="32"/>
          <w:lang w:val="en-US" w:eastAsia="zh-CN"/>
        </w:rPr>
        <w:t>形成了《侯马市农村生活污水收集处理设施运行维护管理办法》。</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五、主要内容</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共</w:t>
      </w:r>
      <w:r>
        <w:rPr>
          <w:rFonts w:hint="eastAsia" w:ascii="仿宋_GB2312" w:hAnsi="仿宋_GB2312" w:eastAsia="仿宋_GB2312" w:cs="仿宋_GB2312"/>
          <w:sz w:val="32"/>
          <w:szCs w:val="32"/>
          <w:lang w:val="en-US" w:eastAsia="zh-CN"/>
        </w:rPr>
        <w:t>分六章</w:t>
      </w:r>
      <w:r>
        <w:rPr>
          <w:rFonts w:hint="eastAsia" w:ascii="仿宋_GB2312" w:hAnsi="仿宋_GB2312" w:eastAsia="仿宋_GB2312" w:cs="仿宋_GB2312"/>
          <w:sz w:val="32"/>
          <w:szCs w:val="32"/>
        </w:rPr>
        <w:t>。简要内容如下：</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left="0" w:leftChars="0"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rPr>
        <w:t>一是</w:t>
      </w:r>
      <w:r>
        <w:rPr>
          <w:rFonts w:hint="eastAsia" w:ascii="楷体_GB2312" w:hAnsi="楷体_GB2312" w:eastAsia="楷体_GB2312" w:cs="楷体_GB2312"/>
          <w:b/>
          <w:bCs/>
          <w:sz w:val="32"/>
          <w:szCs w:val="32"/>
          <w:lang w:val="en-US" w:eastAsia="zh-CN"/>
        </w:rPr>
        <w:t>总则。</w:t>
      </w:r>
      <w:r>
        <w:rPr>
          <w:rFonts w:hint="eastAsia" w:ascii="仿宋_GB2312" w:hAnsi="仿宋_GB2312" w:eastAsia="仿宋_GB2312" w:cs="仿宋_GB2312"/>
          <w:b w:val="0"/>
          <w:bCs w:val="0"/>
          <w:sz w:val="32"/>
          <w:szCs w:val="32"/>
          <w:lang w:val="en-US" w:eastAsia="zh-CN"/>
        </w:rPr>
        <w:t>明确了编制依据，同时对《办法》中部分词句进行了解释</w:t>
      </w:r>
      <w:r>
        <w:rPr>
          <w:rFonts w:hint="eastAsia" w:ascii="仿宋_GB2312" w:hAnsi="仿宋_GB2312" w:eastAsia="仿宋_GB2312" w:cs="仿宋_GB2312"/>
          <w:b w:val="0"/>
          <w:bCs w:val="0"/>
          <w:spacing w:val="0"/>
          <w:sz w:val="32"/>
          <w:szCs w:val="32"/>
          <w:lang w:val="en-US"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rPr>
        <w:t>二是</w:t>
      </w:r>
      <w:r>
        <w:rPr>
          <w:rFonts w:hint="eastAsia" w:ascii="楷体_GB2312" w:hAnsi="楷体_GB2312" w:eastAsia="楷体_GB2312" w:cs="楷体_GB2312"/>
          <w:b/>
          <w:bCs/>
          <w:sz w:val="32"/>
          <w:szCs w:val="32"/>
          <w:lang w:val="en-US" w:eastAsia="zh-CN"/>
        </w:rPr>
        <w:t>管理职责</w:t>
      </w:r>
      <w:r>
        <w:rPr>
          <w:rFonts w:hint="eastAsia" w:ascii="楷体_GB2312" w:hAnsi="楷体_GB2312" w:eastAsia="楷体_GB2312" w:cs="楷体_GB2312"/>
          <w:b/>
          <w:bCs/>
          <w:sz w:val="32"/>
          <w:szCs w:val="32"/>
        </w:rPr>
        <w:t>。</w:t>
      </w:r>
      <w:r>
        <w:rPr>
          <w:rFonts w:hint="eastAsia" w:ascii="仿宋_GB2312" w:hAnsi="仿宋_GB2312" w:eastAsia="仿宋_GB2312" w:cs="仿宋_GB2312"/>
          <w:sz w:val="32"/>
          <w:szCs w:val="32"/>
          <w:lang w:val="en-US" w:eastAsia="zh-CN"/>
        </w:rPr>
        <w:t>对全市各单位在农村生活污水收集处理设施运维管理中的职责进行了明确。</w:t>
      </w:r>
    </w:p>
    <w:p>
      <w:pPr>
        <w:pStyle w:val="2"/>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3"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bCs/>
          <w:sz w:val="32"/>
          <w:szCs w:val="32"/>
        </w:rPr>
        <w:t>三是</w:t>
      </w:r>
      <w:r>
        <w:rPr>
          <w:rFonts w:hint="eastAsia" w:ascii="楷体_GB2312" w:hAnsi="楷体_GB2312" w:eastAsia="楷体_GB2312" w:cs="楷体_GB2312"/>
          <w:b/>
          <w:bCs/>
          <w:sz w:val="32"/>
          <w:szCs w:val="32"/>
          <w:lang w:val="en-US" w:eastAsia="zh-CN"/>
        </w:rPr>
        <w:t>运行维护</w:t>
      </w:r>
      <w:r>
        <w:rPr>
          <w:rFonts w:hint="eastAsia" w:ascii="楷体_GB2312" w:hAnsi="楷体_GB2312" w:eastAsia="楷体_GB2312" w:cs="楷体_GB2312"/>
          <w:b/>
          <w:bCs/>
          <w:sz w:val="32"/>
          <w:szCs w:val="32"/>
        </w:rPr>
        <w:t>。</w:t>
      </w:r>
      <w:r>
        <w:rPr>
          <w:rFonts w:hint="eastAsia" w:ascii="仿宋_GB2312" w:hAnsi="仿宋_GB2312" w:eastAsia="仿宋_GB2312" w:cs="仿宋_GB2312"/>
          <w:b w:val="0"/>
          <w:bCs w:val="0"/>
          <w:sz w:val="32"/>
          <w:szCs w:val="32"/>
          <w:lang w:val="en-US" w:eastAsia="zh-CN"/>
        </w:rPr>
        <w:t>对运维模式、运维标准、运维设施退出等做了规定，对设施的日常运行维护工作进一步细化。</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rPr>
        <w:t>四是</w:t>
      </w:r>
      <w:r>
        <w:rPr>
          <w:rFonts w:hint="eastAsia" w:ascii="楷体_GB2312" w:hAnsi="楷体_GB2312" w:eastAsia="楷体_GB2312" w:cs="楷体_GB2312"/>
          <w:b/>
          <w:bCs/>
          <w:sz w:val="32"/>
          <w:szCs w:val="32"/>
          <w:lang w:val="en-US" w:eastAsia="zh-CN"/>
        </w:rPr>
        <w:t>监督考核</w:t>
      </w:r>
      <w:r>
        <w:rPr>
          <w:rFonts w:hint="eastAsia" w:ascii="楷体_GB2312" w:hAnsi="楷体_GB2312" w:eastAsia="楷体_GB2312" w:cs="楷体_GB2312"/>
          <w:b/>
          <w:bCs/>
          <w:sz w:val="32"/>
          <w:szCs w:val="32"/>
        </w:rPr>
        <w:t>。</w:t>
      </w:r>
      <w:r>
        <w:rPr>
          <w:rFonts w:hint="eastAsia" w:ascii="仿宋_GB2312" w:hAnsi="仿宋_GB2312" w:eastAsia="仿宋_GB2312" w:cs="仿宋_GB2312"/>
          <w:sz w:val="32"/>
          <w:szCs w:val="32"/>
          <w:lang w:val="en-US" w:eastAsia="zh-CN"/>
        </w:rPr>
        <w:t>生态环境部门</w:t>
      </w:r>
      <w:r>
        <w:rPr>
          <w:rFonts w:hint="eastAsia" w:ascii="仿宋_GB2312" w:hAnsi="仿宋_GB2312" w:eastAsia="仿宋_GB2312" w:cs="仿宋_GB2312"/>
          <w:sz w:val="32"/>
          <w:szCs w:val="32"/>
        </w:rPr>
        <w:t>应将农村生活污水收集处理设施运行情况</w:t>
      </w:r>
      <w:r>
        <w:rPr>
          <w:rFonts w:hint="eastAsia" w:ascii="仿宋_GB2312" w:hAnsi="仿宋_GB2312" w:eastAsia="仿宋_GB2312" w:cs="仿宋_GB2312"/>
          <w:sz w:val="32"/>
          <w:szCs w:val="32"/>
          <w:lang w:val="en-US" w:eastAsia="zh-CN"/>
        </w:rPr>
        <w:t>纳入日常执法</w:t>
      </w:r>
      <w:r>
        <w:rPr>
          <w:rFonts w:hint="eastAsia" w:ascii="仿宋_GB2312" w:hAnsi="仿宋_GB2312" w:eastAsia="仿宋_GB2312" w:cs="仿宋_GB2312"/>
          <w:sz w:val="32"/>
          <w:szCs w:val="32"/>
        </w:rPr>
        <w:t>检查工作，发现污水处理设施运行不正常、排放水质不达标等情形的，应依法查处，并</w:t>
      </w:r>
      <w:r>
        <w:rPr>
          <w:rFonts w:hint="eastAsia" w:ascii="仿宋_GB2312" w:hAnsi="仿宋_GB2312" w:eastAsia="仿宋_GB2312" w:cs="仿宋_GB2312"/>
          <w:sz w:val="32"/>
          <w:szCs w:val="32"/>
          <w:lang w:val="en-US" w:eastAsia="zh-CN"/>
        </w:rPr>
        <w:t>监督</w:t>
      </w:r>
      <w:r>
        <w:rPr>
          <w:rFonts w:hint="eastAsia" w:ascii="仿宋_GB2312" w:hAnsi="仿宋_GB2312" w:eastAsia="仿宋_GB2312" w:cs="仿宋_GB2312"/>
          <w:sz w:val="32"/>
          <w:szCs w:val="32"/>
        </w:rPr>
        <w:t>在规定时限内完成整改;</w:t>
      </w:r>
      <w:r>
        <w:rPr>
          <w:rFonts w:hint="eastAsia" w:ascii="仿宋_GB2312" w:hAnsi="仿宋_GB2312" w:eastAsia="仿宋_GB2312" w:cs="仿宋_GB2312"/>
          <w:sz w:val="32"/>
          <w:szCs w:val="32"/>
          <w:lang w:val="en-US" w:eastAsia="zh-CN"/>
        </w:rPr>
        <w:t>定期</w:t>
      </w:r>
      <w:r>
        <w:rPr>
          <w:rFonts w:hint="eastAsia" w:ascii="仿宋_GB2312" w:hAnsi="仿宋_GB2312" w:eastAsia="仿宋_GB2312" w:cs="仿宋_GB2312"/>
          <w:sz w:val="32"/>
          <w:szCs w:val="32"/>
        </w:rPr>
        <w:t>组织对辖区内农村生活污水收集处理设施运行情况进行成效评估，评估结果报告</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rPr>
        <w:t>人民政府及有关部门;按照</w:t>
      </w:r>
      <w:r>
        <w:rPr>
          <w:rFonts w:hint="eastAsia" w:ascii="仿宋_GB2312" w:hAnsi="仿宋_GB2312" w:eastAsia="仿宋_GB2312" w:cs="仿宋_GB2312"/>
          <w:spacing w:val="-11"/>
          <w:sz w:val="32"/>
          <w:szCs w:val="32"/>
        </w:rPr>
        <w:t>国家和省有关要求，对集中式农村生活污水处理设施开展执法监测。</w:t>
      </w:r>
      <w:r>
        <w:rPr>
          <w:rFonts w:hint="eastAsia" w:ascii="仿宋_GB2312" w:hAnsi="仿宋_GB2312" w:eastAsia="仿宋_GB2312" w:cs="仿宋_GB2312"/>
          <w:sz w:val="32"/>
          <w:szCs w:val="32"/>
        </w:rPr>
        <w:t>实行以效付费,设施运行维护主管部门会同有关部门每年对第三方专业机构及乡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、村级组织自管的农村生活污水收集处理设施运行维护管理情况进行考核，考核结</w:t>
      </w:r>
      <w:bookmarkStart w:id="0" w:name="_GoBack"/>
      <w:bookmarkEnd w:id="0"/>
      <w:r>
        <w:rPr>
          <w:rFonts w:hint="eastAsia" w:ascii="仿宋_GB2312" w:hAnsi="仿宋_GB2312" w:eastAsia="仿宋_GB2312" w:cs="仿宋_GB2312"/>
          <w:sz w:val="32"/>
          <w:szCs w:val="32"/>
        </w:rPr>
        <w:t>果作为拨付运行维护经费的重要依据。</w:t>
      </w:r>
      <w:r>
        <w:rPr>
          <w:rFonts w:hint="eastAsia" w:ascii="仿宋_GB2312" w:hAnsi="仿宋_GB2312" w:eastAsia="仿宋_GB2312" w:cs="仿宋_GB2312"/>
          <w:sz w:val="32"/>
          <w:szCs w:val="32"/>
          <w:lang w:val="en-US" w:eastAsia="zh-CN"/>
        </w:rPr>
        <w:t>相关规定将有效保障办法实施。</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w:t>
      </w:r>
      <w:r>
        <w:rPr>
          <w:rFonts w:hint="eastAsia" w:ascii="楷体_GB2312" w:hAnsi="楷体_GB2312" w:eastAsia="楷体_GB2312" w:cs="楷体_GB2312"/>
          <w:b/>
          <w:bCs/>
          <w:sz w:val="32"/>
          <w:szCs w:val="32"/>
        </w:rPr>
        <w:t>是</w:t>
      </w:r>
      <w:r>
        <w:rPr>
          <w:rFonts w:hint="eastAsia" w:ascii="楷体_GB2312" w:hAnsi="楷体_GB2312" w:eastAsia="楷体_GB2312" w:cs="楷体_GB2312"/>
          <w:b/>
          <w:bCs/>
          <w:sz w:val="32"/>
          <w:szCs w:val="32"/>
          <w:lang w:val="en-US" w:eastAsia="zh-CN"/>
        </w:rPr>
        <w:t>资金保障</w:t>
      </w:r>
      <w:r>
        <w:rPr>
          <w:rFonts w:hint="eastAsia" w:ascii="楷体_GB2312" w:hAnsi="楷体_GB2312" w:eastAsia="楷体_GB2312" w:cs="楷体_GB2312"/>
          <w:b/>
          <w:bCs/>
          <w:sz w:val="32"/>
          <w:szCs w:val="32"/>
        </w:rPr>
        <w:t>。</w:t>
      </w:r>
      <w:r>
        <w:rPr>
          <w:rFonts w:hint="eastAsia" w:ascii="仿宋_GB2312" w:hAnsi="仿宋_GB2312" w:eastAsia="仿宋_GB2312" w:cs="仿宋_GB2312"/>
          <w:b w:val="0"/>
          <w:bCs w:val="0"/>
          <w:sz w:val="32"/>
          <w:szCs w:val="32"/>
          <w:lang w:val="en-US" w:eastAsia="zh-CN"/>
        </w:rPr>
        <w:t>主要就农村污水收集处理设施运维资金来源、资金管理方面进行了明确</w:t>
      </w:r>
      <w:r>
        <w:rPr>
          <w:rFonts w:hint="eastAsia" w:ascii="仿宋_GB2312" w:hAnsi="仿宋_GB2312" w:eastAsia="仿宋_GB2312" w:cs="仿宋_GB2312"/>
          <w:sz w:val="32"/>
          <w:szCs w:val="32"/>
          <w:lang w:val="en-US"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、关于施行日期的说明</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30" w:lineRule="atLeast"/>
        <w:ind w:firstLine="640" w:firstLineChars="200"/>
        <w:jc w:val="both"/>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rPr>
        <w:t>该文件的公布日期是</w:t>
      </w:r>
      <w:r>
        <w:rPr>
          <w:rFonts w:hint="eastAsia" w:ascii="仿宋_GB2312" w:hAnsi="仿宋_GB2312" w:eastAsia="仿宋_GB2312" w:cs="仿宋_GB2312"/>
          <w:spacing w:val="0"/>
          <w:sz w:val="32"/>
          <w:szCs w:val="32"/>
          <w:lang w:val="en-US" w:eastAsia="zh-CN"/>
        </w:rPr>
        <w:t>2024</w:t>
      </w:r>
      <w:r>
        <w:rPr>
          <w:rFonts w:hint="eastAsia" w:ascii="仿宋_GB2312" w:hAnsi="仿宋_GB2312" w:eastAsia="仿宋_GB2312" w:cs="仿宋_GB2312"/>
          <w:spacing w:val="0"/>
          <w:sz w:val="32"/>
          <w:szCs w:val="32"/>
        </w:rPr>
        <w:t>年</w:t>
      </w:r>
      <w:r>
        <w:rPr>
          <w:rFonts w:hint="eastAsia" w:ascii="仿宋_GB2312" w:hAnsi="仿宋_GB2312" w:eastAsia="仿宋_GB2312" w:cs="仿宋_GB2312"/>
          <w:spacing w:val="0"/>
          <w:sz w:val="32"/>
          <w:szCs w:val="32"/>
          <w:lang w:val="en-US" w:eastAsia="zh-CN"/>
        </w:rPr>
        <w:t>9</w:t>
      </w:r>
      <w:r>
        <w:rPr>
          <w:rFonts w:hint="eastAsia" w:ascii="仿宋_GB2312" w:hAnsi="仿宋_GB2312" w:eastAsia="仿宋_GB2312" w:cs="仿宋_GB2312"/>
          <w:spacing w:val="0"/>
          <w:sz w:val="32"/>
          <w:szCs w:val="32"/>
        </w:rPr>
        <w:t>月</w:t>
      </w:r>
      <w:r>
        <w:rPr>
          <w:rFonts w:hint="eastAsia" w:ascii="仿宋_GB2312" w:hAnsi="仿宋_GB2312" w:eastAsia="仿宋_GB2312" w:cs="仿宋_GB2312"/>
          <w:spacing w:val="0"/>
          <w:sz w:val="32"/>
          <w:szCs w:val="32"/>
          <w:lang w:val="en-US" w:eastAsia="zh-CN"/>
        </w:rPr>
        <w:t>26</w:t>
      </w:r>
      <w:r>
        <w:rPr>
          <w:rFonts w:hint="eastAsia" w:ascii="仿宋_GB2312" w:hAnsi="仿宋_GB2312" w:eastAsia="仿宋_GB2312" w:cs="仿宋_GB2312"/>
          <w:spacing w:val="0"/>
          <w:sz w:val="32"/>
          <w:szCs w:val="32"/>
        </w:rPr>
        <w:t>日，施行日期是</w:t>
      </w:r>
      <w:r>
        <w:rPr>
          <w:rFonts w:hint="eastAsia" w:ascii="仿宋_GB2312" w:hAnsi="仿宋_GB2312" w:eastAsia="仿宋_GB2312" w:cs="仿宋_GB2312"/>
          <w:spacing w:val="0"/>
          <w:sz w:val="32"/>
          <w:szCs w:val="32"/>
          <w:lang w:val="en-US" w:eastAsia="zh-CN"/>
        </w:rPr>
        <w:t>2024年9</w:t>
      </w:r>
      <w:r>
        <w:rPr>
          <w:rFonts w:hint="eastAsia" w:ascii="仿宋_GB2312" w:hAnsi="仿宋_GB2312" w:eastAsia="仿宋_GB2312" w:cs="仿宋_GB2312"/>
          <w:spacing w:val="0"/>
          <w:sz w:val="32"/>
          <w:szCs w:val="32"/>
        </w:rPr>
        <w:t>月</w:t>
      </w:r>
      <w:r>
        <w:rPr>
          <w:rFonts w:hint="eastAsia" w:ascii="仿宋_GB2312" w:hAnsi="仿宋_GB2312" w:eastAsia="仿宋_GB2312" w:cs="仿宋_GB2312"/>
          <w:spacing w:val="0"/>
          <w:sz w:val="32"/>
          <w:szCs w:val="32"/>
          <w:lang w:val="en-US" w:eastAsia="zh-CN"/>
        </w:rPr>
        <w:t>26</w:t>
      </w:r>
      <w:r>
        <w:rPr>
          <w:rFonts w:hint="eastAsia" w:ascii="仿宋_GB2312" w:hAnsi="仿宋_GB2312" w:eastAsia="仿宋_GB2312" w:cs="仿宋_GB2312"/>
          <w:spacing w:val="0"/>
          <w:sz w:val="32"/>
          <w:szCs w:val="32"/>
        </w:rPr>
        <w:t>日。</w:t>
      </w: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exact"/>
        <w:ind w:left="0" w:leftChars="0" w:firstLine="3078" w:firstLineChars="962"/>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侯马市人民政府办公室</w:t>
      </w:r>
    </w:p>
    <w:p>
      <w:pPr>
        <w:pStyle w:val="8"/>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val="0"/>
        <w:topLinePunct w:val="0"/>
        <w:autoSpaceDE/>
        <w:autoSpaceDN/>
        <w:bidi w:val="0"/>
        <w:adjustRightInd/>
        <w:snapToGrid/>
        <w:spacing w:before="0" w:after="0" w:line="600" w:lineRule="exact"/>
        <w:ind w:left="0" w:leftChars="0" w:firstLine="3078" w:firstLineChars="962"/>
        <w:jc w:val="center"/>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2024年10月16日</w:t>
      </w:r>
    </w:p>
    <w:sectPr>
      <w:footerReference r:id="rId5" w:type="default"/>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87D4AE2-3694-459F-8C9D-0D4BE3B473D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B63BFF59-7B82-4722-84E7-33AC5D482DD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embedRegular r:id="rId3" w:fontKey="{09A543BE-77DB-4172-AC5A-9FABC331258F}"/>
  </w:font>
  <w:font w:name="方正小标宋简体">
    <w:panose1 w:val="03000509000000000000"/>
    <w:charset w:val="86"/>
    <w:family w:val="auto"/>
    <w:pitch w:val="default"/>
    <w:sig w:usb0="00000001" w:usb1="080E0000" w:usb2="00000000" w:usb3="00000000" w:csb0="00040000" w:csb1="00000000"/>
    <w:embedRegular r:id="rId4" w:fontKey="{564D7789-259F-4D77-A7BB-2068F47249BD}"/>
  </w:font>
  <w:font w:name="楷体_GB2312">
    <w:panose1 w:val="02010609030101010101"/>
    <w:charset w:val="86"/>
    <w:family w:val="auto"/>
    <w:pitch w:val="default"/>
    <w:sig w:usb0="00000001" w:usb1="080E0000" w:usb2="00000000" w:usb3="00000000" w:csb0="00040000" w:csb1="00000000"/>
    <w:embedRegular r:id="rId5" w:fontKey="{B5AF510A-34BD-4346-B0D0-27015DD7857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widowControl w:val="0"/>
      <w:kinsoku/>
      <w:wordWrap/>
      <w:overflowPunct/>
      <w:topLinePunct w:val="0"/>
      <w:autoSpaceDE/>
      <w:autoSpaceDN/>
      <w:bidi w:val="0"/>
      <w:adjustRightInd/>
      <w:snapToGrid w:val="0"/>
      <w:spacing w:after="0"/>
      <w:jc w:val="center"/>
      <w:textAlignment w:val="auto"/>
      <w:rPr>
        <w:rFonts w:hint="eastAsia" w:ascii="仿宋_GB2312" w:eastAsia="仿宋_GB2312"/>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仿宋_GB2312" w:eastAsia="仿宋_GB2312"/>
                              <w:sz w:val="28"/>
                              <w:szCs w:val="28"/>
                            </w:rPr>
                            <w:id w:val="-110834140"/>
                            <w:docPartObj>
                              <w:docPartGallery w:val="autotext"/>
                            </w:docPartObj>
                          </w:sdtPr>
                          <w:sdtEndPr>
                            <w:rPr>
                              <w:rFonts w:hint="eastAsia" w:ascii="仿宋_GB2312" w:eastAsia="仿宋_GB2312"/>
                              <w:sz w:val="28"/>
                              <w:szCs w:val="28"/>
                            </w:rPr>
                          </w:sdtEndPr>
                          <w:sdtContent>
                            <w:p>
                              <w:pPr>
                                <w:pStyle w:val="2"/>
                                <w:keepNext w:val="0"/>
                                <w:keepLines w:val="0"/>
                                <w:pageBreakBefore w:val="0"/>
                                <w:widowControl w:val="0"/>
                                <w:kinsoku/>
                                <w:wordWrap/>
                                <w:overflowPunct/>
                                <w:topLinePunct w:val="0"/>
                                <w:autoSpaceDE/>
                                <w:autoSpaceDN/>
                                <w:bidi w:val="0"/>
                                <w:adjustRightInd/>
                                <w:snapToGrid w:val="0"/>
                                <w:spacing w:after="0"/>
                                <w:ind w:left="440" w:leftChars="200" w:right="440" w:rightChars="200"/>
                                <w:jc w:val="center"/>
                                <w:textAlignment w:val="auto"/>
                                <w:rPr>
                                  <w:rFonts w:hint="eastAsia" w:ascii="仿宋_GB2312" w:eastAsia="仿宋_GB2312"/>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w:t>
                              </w:r>
                              <w:r>
                                <w:rPr>
                                  <w:rFonts w:hint="eastAsia" w:ascii="宋体" w:hAnsi="宋体" w:eastAsia="宋体" w:cs="宋体"/>
                                  <w:sz w:val="28"/>
                                  <w:szCs w:val="28"/>
                                </w:rP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sdt>
                    <w:sdtPr>
                      <w:rPr>
                        <w:rFonts w:hint="eastAsia" w:ascii="仿宋_GB2312" w:eastAsia="仿宋_GB2312"/>
                        <w:sz w:val="28"/>
                        <w:szCs w:val="28"/>
                      </w:rPr>
                      <w:id w:val="-110834140"/>
                      <w:docPartObj>
                        <w:docPartGallery w:val="autotext"/>
                      </w:docPartObj>
                    </w:sdtPr>
                    <w:sdtEndPr>
                      <w:rPr>
                        <w:rFonts w:hint="eastAsia" w:ascii="仿宋_GB2312" w:eastAsia="仿宋_GB2312"/>
                        <w:sz w:val="28"/>
                        <w:szCs w:val="28"/>
                      </w:rPr>
                    </w:sdtEndPr>
                    <w:sdtContent>
                      <w:p>
                        <w:pPr>
                          <w:pStyle w:val="2"/>
                          <w:keepNext w:val="0"/>
                          <w:keepLines w:val="0"/>
                          <w:pageBreakBefore w:val="0"/>
                          <w:widowControl w:val="0"/>
                          <w:kinsoku/>
                          <w:wordWrap/>
                          <w:overflowPunct/>
                          <w:topLinePunct w:val="0"/>
                          <w:autoSpaceDE/>
                          <w:autoSpaceDN/>
                          <w:bidi w:val="0"/>
                          <w:adjustRightInd/>
                          <w:snapToGrid w:val="0"/>
                          <w:spacing w:after="0"/>
                          <w:ind w:left="440" w:leftChars="200" w:right="440" w:rightChars="200"/>
                          <w:jc w:val="center"/>
                          <w:textAlignment w:val="auto"/>
                          <w:rPr>
                            <w:rFonts w:hint="eastAsia" w:ascii="仿宋_GB2312" w:eastAsia="仿宋_GB2312"/>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2</w:t>
                        </w:r>
                        <w:r>
                          <w:rPr>
                            <w:rFonts w:hint="eastAsia" w:ascii="宋体" w:hAnsi="宋体" w:eastAsia="宋体" w:cs="宋体"/>
                            <w:sz w:val="28"/>
                            <w:szCs w:val="28"/>
                          </w:rPr>
                          <w:fldChar w:fldCharType="end"/>
                        </w:r>
                      </w:p>
                    </w:sdtContent>
                  </w:sdt>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4C2BE1"/>
    <w:multiLevelType w:val="singleLevel"/>
    <w:tmpl w:val="714C2BE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A4MWY2ZTBiMGY1Y2Q2ZGJiZjZlOWU1YWExMDU1MTAifQ=="/>
  </w:docVars>
  <w:rsids>
    <w:rsidRoot w:val="00C80F8C"/>
    <w:rsid w:val="000A6A1F"/>
    <w:rsid w:val="006539EA"/>
    <w:rsid w:val="006A04A7"/>
    <w:rsid w:val="00A43723"/>
    <w:rsid w:val="00BD012A"/>
    <w:rsid w:val="00C80F8C"/>
    <w:rsid w:val="00CE3123"/>
    <w:rsid w:val="04705816"/>
    <w:rsid w:val="08BB280E"/>
    <w:rsid w:val="0E2556CA"/>
    <w:rsid w:val="0FA9326D"/>
    <w:rsid w:val="12153449"/>
    <w:rsid w:val="127F5249"/>
    <w:rsid w:val="129137F9"/>
    <w:rsid w:val="15F52495"/>
    <w:rsid w:val="19241D0A"/>
    <w:rsid w:val="1D9C07F5"/>
    <w:rsid w:val="203A00B7"/>
    <w:rsid w:val="226B42C8"/>
    <w:rsid w:val="29725AAB"/>
    <w:rsid w:val="2C4B62ED"/>
    <w:rsid w:val="2E15730F"/>
    <w:rsid w:val="32795C76"/>
    <w:rsid w:val="369D33CF"/>
    <w:rsid w:val="39A55AE7"/>
    <w:rsid w:val="49D07106"/>
    <w:rsid w:val="4B6F4538"/>
    <w:rsid w:val="4C216BF2"/>
    <w:rsid w:val="4F5D5423"/>
    <w:rsid w:val="50C9021B"/>
    <w:rsid w:val="548F508A"/>
    <w:rsid w:val="594D4237"/>
    <w:rsid w:val="5CA91555"/>
    <w:rsid w:val="60B602B9"/>
    <w:rsid w:val="618B2EB9"/>
    <w:rsid w:val="64170AF6"/>
    <w:rsid w:val="679832AF"/>
    <w:rsid w:val="74120BDE"/>
    <w:rsid w:val="748C6FB2"/>
    <w:rsid w:val="7C0C1D41"/>
    <w:rsid w:val="7CFE7E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spacing w:line="240" w:lineRule="auto"/>
    </w:pPr>
    <w:rPr>
      <w:sz w:val="18"/>
      <w:szCs w:val="18"/>
    </w:rPr>
  </w:style>
  <w:style w:type="paragraph" w:styleId="3">
    <w:name w:val="header"/>
    <w:basedOn w:val="1"/>
    <w:link w:val="6"/>
    <w:unhideWhenUsed/>
    <w:qFormat/>
    <w:uiPriority w:val="99"/>
    <w:pPr>
      <w:tabs>
        <w:tab w:val="center" w:pos="4153"/>
        <w:tab w:val="right" w:pos="8306"/>
      </w:tabs>
      <w:snapToGrid w:val="0"/>
      <w:spacing w:line="240" w:lineRule="auto"/>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 w:type="paragraph" w:customStyle="1" w:styleId="8">
    <w:name w:val="合同-正文"/>
    <w:basedOn w:val="1"/>
    <w:qFormat/>
    <w:uiPriority w:val="0"/>
    <w:pPr>
      <w:spacing w:before="240" w:after="60" w:line="240" w:lineRule="auto"/>
      <w:ind w:firstLine="723" w:firstLineChars="200"/>
      <w:outlineLvl w:val="0"/>
    </w:pPr>
    <w:rPr>
      <w:rFonts w:ascii="Calibri" w:hAnsi="Calibri" w:eastAsia="宋体" w:cs="Times New Roman"/>
      <w:sz w:val="24"/>
      <w14:ligatures w14: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1340</Words>
  <Characters>1378</Characters>
  <Lines>5</Lines>
  <Paragraphs>1</Paragraphs>
  <TotalTime>6</TotalTime>
  <ScaleCrop>false</ScaleCrop>
  <LinksUpToDate>false</LinksUpToDate>
  <CharactersWithSpaces>1378</CharactersWithSpaces>
  <Application>WPS Office_11.8.2.12014_F1E327BC-269C-435d-A152-05C5408002CA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2024-03-02T10:57:00Z</dcterms:created>
  <dc:creator>E14</dc:creator>
  <cp:lastModifiedBy>Administrator</cp:lastModifiedBy>
  <cp:lastPrinted>2024-11-22T03:58:33Z</cp:lastPrinted>
  <dcterms:modified xsi:type="dcterms:W3CDTF">2024-11-22T04:00:53Z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2052-11.8.2.12014</vt:lpwstr>
  </property>
  <property fmtid="{D5CDD505-2E9C-101B-9397-08002B2CF9AE}" pid="3" name="ICV">
    <vt:lpwstr>0341B1EA831342378EFEE3D4DB8FB6F5_13</vt:lpwstr>
  </property>
</Properties>
</file>