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C9EEEE">
      <w:pPr>
        <w:pStyle w:val="6"/>
        <w:keepNext w:val="0"/>
        <w:keepLines w:val="0"/>
        <w:pageBreakBefore w:val="0"/>
        <w:widowControl w:val="0"/>
        <w:kinsoku/>
        <w:wordWrap/>
        <w:overflowPunct w:val="0"/>
        <w:topLinePunct w:val="0"/>
        <w:autoSpaceDE/>
        <w:autoSpaceDN/>
        <w:bidi w:val="0"/>
        <w:adjustRightInd/>
        <w:snapToGrid/>
        <w:spacing w:after="157" w:afterLines="50" w:line="560" w:lineRule="exact"/>
        <w:jc w:val="both"/>
        <w:textAlignment w:val="auto"/>
        <w:rPr>
          <w:rFonts w:hint="eastAsia" w:ascii="黑体" w:hAnsi="黑体" w:eastAsia="黑体" w:cs="黑体"/>
          <w:sz w:val="32"/>
          <w:szCs w:val="32"/>
        </w:rPr>
      </w:pPr>
      <w:r>
        <w:rPr>
          <w:rFonts w:hint="eastAsia" w:ascii="黑体" w:hAnsi="黑体" w:eastAsia="黑体" w:cs="黑体"/>
          <w:sz w:val="32"/>
          <w:szCs w:val="32"/>
        </w:rPr>
        <w:t>附件2</w:t>
      </w:r>
    </w:p>
    <w:p w14:paraId="54531718">
      <w:pPr>
        <w:pStyle w:val="6"/>
        <w:keepNext w:val="0"/>
        <w:keepLines w:val="0"/>
        <w:pageBreakBefore w:val="0"/>
        <w:widowControl w:val="0"/>
        <w:kinsoku/>
        <w:wordWrap/>
        <w:overflowPunct w:val="0"/>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r>
        <w:rPr>
          <w:sz w:val="32"/>
        </w:rPr>
        <mc:AlternateContent>
          <mc:Choice Requires="wps">
            <w:drawing>
              <wp:anchor distT="0" distB="0" distL="114300" distR="114300" simplePos="0" relativeHeight="251659264" behindDoc="0" locked="0" layoutInCell="1" allowOverlap="1">
                <wp:simplePos x="0" y="0"/>
                <wp:positionH relativeFrom="column">
                  <wp:posOffset>-558165</wp:posOffset>
                </wp:positionH>
                <wp:positionV relativeFrom="paragraph">
                  <wp:posOffset>-431165</wp:posOffset>
                </wp:positionV>
                <wp:extent cx="514985" cy="5558155"/>
                <wp:effectExtent l="0" t="0" r="3175" b="4445"/>
                <wp:wrapNone/>
                <wp:docPr id="8" name="文本框 8"/>
                <wp:cNvGraphicFramePr/>
                <a:graphic xmlns:a="http://schemas.openxmlformats.org/drawingml/2006/main">
                  <a:graphicData uri="http://schemas.microsoft.com/office/word/2010/wordprocessingShape">
                    <wps:wsp>
                      <wps:cNvSpPr txBox="1"/>
                      <wps:spPr>
                        <a:xfrm>
                          <a:off x="0" y="0"/>
                          <a:ext cx="514985" cy="55581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3B55CF3A">
                            <w:pPr>
                              <w:keepNext w:val="0"/>
                              <w:keepLines w:val="0"/>
                              <w:pageBreakBefore w:val="0"/>
                              <w:widowControl w:val="0"/>
                              <w:kinsoku/>
                              <w:wordWrap/>
                              <w:overflowPunct/>
                              <w:topLinePunct w:val="0"/>
                              <w:autoSpaceDE/>
                              <w:autoSpaceDN/>
                              <w:bidi w:val="0"/>
                              <w:adjustRightInd/>
                              <w:snapToGrid/>
                              <w:ind w:right="420" w:rightChars="200"/>
                              <w:jc w:val="left"/>
                              <w:textAlignment w:val="auto"/>
                              <w:rPr>
                                <w:rFonts w:hint="eastAsia" w:ascii="宋体" w:hAnsi="宋体" w:eastAsia="宋体" w:cs="宋体"/>
                                <w:sz w:val="28"/>
                                <w:szCs w:val="28"/>
                                <w:lang w:val="en-US" w:eastAsia="zh-CN"/>
                              </w:rPr>
                            </w:pP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95pt;margin-top:-33.95pt;height:437.65pt;width:40.55pt;z-index:251659264;mso-width-relative:page;mso-height-relative:page;" fillcolor="#FFFFFF [3201]" filled="t" stroked="f" coordsize="21600,21600" o:gfxdata="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FCvbAbYAAAACgEA&#10;AA8AAAAAAAAAAQAgAAAAIgAAAGRycy9kb3ducmV2LnhtbFBLAQIUABQAAAAIAIdO4kCcRBAMUwIA&#10;AJEEAAAOAAAAAAAAAAEAIAAAACcBAABkcnMvZTJvRG9jLnhtbFBLBQYAAAAABgAGAFkBAADsBQAA&#10;AAA=&#10;">
                <v:fill on="t" focussize="0,0"/>
                <v:stroke on="f" weight="0.5pt"/>
                <v:imagedata o:title=""/>
                <o:lock v:ext="edit" aspectratio="f"/>
                <v:textbox style="layout-flow:vertical-ideographic;">
                  <w:txbxContent>
                    <w:p w14:paraId="3B55CF3A">
                      <w:pPr>
                        <w:keepNext w:val="0"/>
                        <w:keepLines w:val="0"/>
                        <w:pageBreakBefore w:val="0"/>
                        <w:widowControl w:val="0"/>
                        <w:kinsoku/>
                        <w:wordWrap/>
                        <w:overflowPunct/>
                        <w:topLinePunct w:val="0"/>
                        <w:autoSpaceDE/>
                        <w:autoSpaceDN/>
                        <w:bidi w:val="0"/>
                        <w:adjustRightInd/>
                        <w:snapToGrid/>
                        <w:ind w:right="420" w:rightChars="200"/>
                        <w:jc w:val="left"/>
                        <w:textAlignment w:val="auto"/>
                        <w:rPr>
                          <w:rFonts w:hint="eastAsia" w:ascii="宋体" w:hAnsi="宋体" w:eastAsia="宋体" w:cs="宋体"/>
                          <w:sz w:val="28"/>
                          <w:szCs w:val="28"/>
                          <w:lang w:val="en-US" w:eastAsia="zh-CN"/>
                        </w:rPr>
                      </w:pPr>
                    </w:p>
                  </w:txbxContent>
                </v:textbox>
              </v:shape>
            </w:pict>
          </mc:Fallback>
        </mc:AlternateContent>
      </w:r>
      <w:r>
        <w:rPr>
          <w:rFonts w:hint="eastAsia" w:ascii="方正小标宋简体" w:hAnsi="方正小标宋简体" w:eastAsia="方正小标宋简体" w:cs="方正小标宋简体"/>
          <w:sz w:val="44"/>
          <w:szCs w:val="44"/>
        </w:rPr>
        <w:t>侯马市人民政府下放乡人民政府和街道办事处行政执法职权目录</w:t>
      </w:r>
    </w:p>
    <w:tbl>
      <w:tblPr>
        <w:tblStyle w:val="10"/>
        <w:tblW w:w="1399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0"/>
        <w:gridCol w:w="2075"/>
        <w:gridCol w:w="812"/>
        <w:gridCol w:w="9035"/>
        <w:gridCol w:w="1500"/>
      </w:tblGrid>
      <w:tr w14:paraId="12CFE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9" w:hRule="atLeast"/>
          <w:tblHeader/>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FDEBB">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序号</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3A820">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职权名称</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859D6">
            <w:pPr>
              <w:keepNext w:val="0"/>
              <w:keepLines w:val="0"/>
              <w:widowControl/>
              <w:suppressLineNumbers w:val="0"/>
              <w:jc w:val="center"/>
              <w:textAlignment w:val="center"/>
              <w:rPr>
                <w:rFonts w:hint="eastAsia" w:ascii="黑体" w:hAnsi="黑体" w:eastAsia="黑体" w:cs="黑体"/>
                <w:i w:val="0"/>
                <w:iCs w:val="0"/>
                <w:color w:val="000000"/>
                <w:kern w:val="0"/>
                <w:sz w:val="21"/>
                <w:szCs w:val="21"/>
                <w:u w:val="none"/>
                <w:lang w:val="en-US" w:eastAsia="zh-CN" w:bidi="ar"/>
              </w:rPr>
            </w:pPr>
            <w:r>
              <w:rPr>
                <w:rFonts w:hint="eastAsia" w:ascii="黑体" w:hAnsi="黑体" w:eastAsia="黑体" w:cs="黑体"/>
                <w:i w:val="0"/>
                <w:iCs w:val="0"/>
                <w:color w:val="000000"/>
                <w:kern w:val="0"/>
                <w:sz w:val="21"/>
                <w:szCs w:val="21"/>
                <w:u w:val="none"/>
                <w:lang w:val="en-US" w:eastAsia="zh-CN" w:bidi="ar"/>
              </w:rPr>
              <w:t>职权</w:t>
            </w:r>
          </w:p>
          <w:p w14:paraId="45EF1B36">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类型</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6D5EF">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职权依据</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5B197">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主管部门</w:t>
            </w:r>
          </w:p>
        </w:tc>
      </w:tr>
      <w:tr w14:paraId="221EAA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66"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FF16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1F733">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对损毁永久性测量标志或使其失去使用效能的行为的处罚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DA82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行政</w:t>
            </w:r>
          </w:p>
          <w:p w14:paraId="3059B2F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057DE">
            <w:pPr>
              <w:keepNext w:val="0"/>
              <w:keepLines w:val="0"/>
              <w:widowControl/>
              <w:suppressLineNumbers w:val="0"/>
              <w:jc w:val="both"/>
              <w:textAlignment w:val="center"/>
              <w:rPr>
                <w:rStyle w:val="17"/>
                <w:rFonts w:hint="eastAsia" w:ascii="宋体" w:hAnsi="宋体" w:cs="宋体"/>
                <w:sz w:val="21"/>
                <w:szCs w:val="21"/>
                <w:lang w:val="en-US" w:eastAsia="zh-CN" w:bidi="ar"/>
              </w:rPr>
            </w:pPr>
            <w:r>
              <w:rPr>
                <w:rFonts w:hint="eastAsia" w:ascii="宋体" w:hAnsi="宋体" w:eastAsia="宋体" w:cs="宋体"/>
                <w:b/>
                <w:bCs/>
                <w:i w:val="0"/>
                <w:iCs w:val="0"/>
                <w:color w:val="000000"/>
                <w:kern w:val="0"/>
                <w:sz w:val="21"/>
                <w:szCs w:val="21"/>
                <w:u w:val="none"/>
                <w:lang w:val="en-US" w:eastAsia="zh-CN" w:bidi="ar"/>
              </w:rPr>
              <w:t>《中华人民共和国测绘法》第六十四条第一款第一项、第四项</w:t>
            </w:r>
            <w:r>
              <w:rPr>
                <w:rStyle w:val="17"/>
                <w:rFonts w:hint="eastAsia" w:ascii="宋体" w:hAnsi="宋体" w:eastAsia="宋体" w:cs="宋体"/>
                <w:sz w:val="21"/>
                <w:szCs w:val="21"/>
                <w:lang w:val="en-US" w:eastAsia="zh-CN" w:bidi="ar"/>
              </w:rPr>
              <w:t xml:space="preserve">  违反本法规定，有下列行为之一的，给予警告，责令改正，可以并处二十万元以下的罚款；对直接负责的主管人员和其他直接责任人员，依法给予处分；造成损失的，依法承担赔偿责任；构成犯罪的，依法追究刑事责任：</w:t>
            </w:r>
            <w:r>
              <w:rPr>
                <w:rStyle w:val="17"/>
                <w:rFonts w:hint="eastAsia" w:ascii="宋体" w:hAnsi="宋体" w:eastAsia="宋体" w:cs="宋体"/>
                <w:sz w:val="21"/>
                <w:szCs w:val="21"/>
                <w:lang w:val="en-US" w:eastAsia="zh-CN" w:bidi="ar"/>
              </w:rPr>
              <w:br w:type="textWrapping"/>
            </w:r>
            <w:r>
              <w:rPr>
                <w:rStyle w:val="17"/>
                <w:rFonts w:hint="eastAsia" w:ascii="宋体" w:hAnsi="宋体" w:eastAsia="宋体" w:cs="宋体"/>
                <w:sz w:val="21"/>
                <w:szCs w:val="21"/>
                <w:lang w:val="en-US" w:eastAsia="zh-CN" w:bidi="ar"/>
              </w:rPr>
              <w:t>（一）损毁、擅自移动永久性测量标志或者正在使用中的临时性测量标志；（四）擅自拆迁永久性测量标志或者使永久性测量标志失去使用效能，或者拒绝支付迁建费用</w:t>
            </w:r>
            <w:r>
              <w:rPr>
                <w:rStyle w:val="17"/>
                <w:rFonts w:hint="eastAsia" w:ascii="宋体" w:hAnsi="宋体" w:cs="宋体"/>
                <w:sz w:val="21"/>
                <w:szCs w:val="21"/>
                <w:lang w:val="en-US" w:eastAsia="zh-CN" w:bidi="ar"/>
              </w:rPr>
              <w:t>。</w:t>
            </w:r>
          </w:p>
          <w:p w14:paraId="5FA420CD">
            <w:pPr>
              <w:keepNext w:val="0"/>
              <w:keepLines w:val="0"/>
              <w:widowControl/>
              <w:suppressLineNumbers w:val="0"/>
              <w:jc w:val="both"/>
              <w:textAlignment w:val="center"/>
              <w:rPr>
                <w:rStyle w:val="17"/>
                <w:rFonts w:hint="eastAsia" w:ascii="宋体" w:hAnsi="宋体" w:eastAsia="宋体" w:cs="宋体"/>
                <w:sz w:val="21"/>
                <w:szCs w:val="21"/>
                <w:lang w:val="en-US" w:eastAsia="zh-CN" w:bidi="ar"/>
              </w:rPr>
            </w:pPr>
            <w:r>
              <w:rPr>
                <w:rStyle w:val="18"/>
                <w:rFonts w:hint="eastAsia" w:ascii="宋体" w:hAnsi="宋体" w:eastAsia="宋体" w:cs="宋体"/>
                <w:sz w:val="21"/>
                <w:szCs w:val="21"/>
                <w:lang w:val="en-US" w:eastAsia="zh-CN" w:bidi="ar"/>
              </w:rPr>
              <w:t>《中华人民共和国测量标志保护条例》（国务院令第203号）第二十二条第一款第一项</w:t>
            </w:r>
            <w:r>
              <w:rPr>
                <w:rStyle w:val="18"/>
                <w:rFonts w:hint="eastAsia" w:ascii="宋体" w:hAnsi="宋体" w:cs="宋体"/>
                <w:sz w:val="21"/>
                <w:szCs w:val="21"/>
                <w:lang w:val="en-US" w:eastAsia="zh-CN" w:bidi="ar"/>
              </w:rPr>
              <w:t xml:space="preserve">  </w:t>
            </w:r>
            <w:r>
              <w:rPr>
                <w:rStyle w:val="17"/>
                <w:rFonts w:hint="eastAsia" w:ascii="宋体" w:hAnsi="宋体" w:eastAsia="宋体" w:cs="宋体"/>
                <w:sz w:val="21"/>
                <w:szCs w:val="21"/>
                <w:lang w:val="en-US" w:eastAsia="zh-CN" w:bidi="ar"/>
              </w:rPr>
              <w:t>测量标志受国家保护，禁止下列有损测量标志安全和使用测量标志失去使用效能的行为：（一）损毁或者擅自移动地下或者地上的永久性测量标志以及使用中的临时性测量标志的</w:t>
            </w:r>
            <w:r>
              <w:rPr>
                <w:rStyle w:val="17"/>
                <w:rFonts w:hint="eastAsia" w:ascii="宋体" w:hAnsi="宋体" w:cs="宋体"/>
                <w:sz w:val="21"/>
                <w:szCs w:val="21"/>
                <w:lang w:val="en-US" w:eastAsia="zh-CN" w:bidi="ar"/>
              </w:rPr>
              <w:t>。</w:t>
            </w:r>
          </w:p>
          <w:p w14:paraId="5985F74F">
            <w:pPr>
              <w:keepNext w:val="0"/>
              <w:keepLines w:val="0"/>
              <w:widowControl/>
              <w:suppressLineNumbers w:val="0"/>
              <w:jc w:val="both"/>
              <w:textAlignment w:val="center"/>
              <w:rPr>
                <w:rStyle w:val="17"/>
                <w:rFonts w:hint="eastAsia" w:ascii="宋体" w:hAnsi="宋体" w:cs="宋体"/>
                <w:sz w:val="21"/>
                <w:szCs w:val="21"/>
                <w:lang w:val="en-US" w:eastAsia="zh-CN" w:bidi="ar"/>
              </w:rPr>
            </w:pPr>
            <w:r>
              <w:rPr>
                <w:rStyle w:val="18"/>
                <w:rFonts w:hint="eastAsia" w:ascii="宋体" w:hAnsi="宋体" w:eastAsia="宋体" w:cs="宋体"/>
                <w:sz w:val="21"/>
                <w:szCs w:val="21"/>
                <w:lang w:val="en-US" w:eastAsia="zh-CN" w:bidi="ar"/>
              </w:rPr>
              <w:t>第二十三条第一款第二项、第三项</w:t>
            </w:r>
            <w:r>
              <w:rPr>
                <w:rStyle w:val="18"/>
                <w:rFonts w:hint="eastAsia" w:ascii="宋体" w:hAnsi="宋体" w:cs="宋体"/>
                <w:sz w:val="21"/>
                <w:szCs w:val="21"/>
                <w:lang w:val="en-US" w:eastAsia="zh-CN" w:bidi="ar"/>
              </w:rPr>
              <w:t xml:space="preserve">  </w:t>
            </w:r>
            <w:r>
              <w:rPr>
                <w:rStyle w:val="17"/>
                <w:rFonts w:hint="eastAsia" w:ascii="宋体" w:hAnsi="宋体" w:eastAsia="宋体" w:cs="宋体"/>
                <w:sz w:val="21"/>
                <w:szCs w:val="21"/>
                <w:lang w:val="en-US" w:eastAsia="zh-CN" w:bidi="ar"/>
              </w:rPr>
              <w:t>有本条例第二十二条禁止的行为之一，或者有下列行为之一的，由县级以上人民政府管理测绘工作的部门责令限期改正，给予警告，并可以根据情节处以5万元以下的罚款；对负有直接责任的主管人员和其他直接责任人员，依法给予行政处分；造成损失的，应当依法承担赔偿责任：（二）工程建设单位未经批准擅自拆迁永久性测量标志或者使永久性测量标志失去使用效能的，或者拒绝按照国家有关规定支付迁建费用的；（三）违反测绘操作规程进行测绘，使永久性测量标志受到损坏的</w:t>
            </w:r>
            <w:r>
              <w:rPr>
                <w:rStyle w:val="17"/>
                <w:rFonts w:hint="eastAsia" w:ascii="宋体" w:hAnsi="宋体" w:cs="宋体"/>
                <w:sz w:val="21"/>
                <w:szCs w:val="21"/>
                <w:lang w:val="en-US" w:eastAsia="zh-CN" w:bidi="ar"/>
              </w:rPr>
              <w:t>。</w:t>
            </w:r>
          </w:p>
          <w:p w14:paraId="0E02ACE2">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Style w:val="18"/>
                <w:rFonts w:hint="eastAsia" w:ascii="宋体" w:hAnsi="宋体" w:eastAsia="宋体" w:cs="宋体"/>
                <w:sz w:val="21"/>
                <w:szCs w:val="21"/>
                <w:lang w:val="en-US" w:eastAsia="zh-CN" w:bidi="ar"/>
              </w:rPr>
              <w:t>《山西省测量标志管理规定》（山西省人民政府令第140号）第三十一条第一款第三项</w:t>
            </w:r>
            <w:r>
              <w:rPr>
                <w:rStyle w:val="17"/>
                <w:rFonts w:hint="eastAsia" w:ascii="宋体" w:hAnsi="宋体" w:eastAsia="宋体" w:cs="宋体"/>
                <w:sz w:val="21"/>
                <w:szCs w:val="21"/>
                <w:lang w:val="en-US" w:eastAsia="zh-CN" w:bidi="ar"/>
              </w:rPr>
              <w:t>　违反本规定，有下列行为之一的，依据《中华人民共和国测量标志保护条例》第二十三条的规定，由县级以上人民政府管理测绘工作的部门责令限期改正，给予警告，并可以视情节按以下规定处以罚款；对负有直接责任的主管人员和其他直接责任人员，依法给予行政处分；造成损失的，依法承</w:t>
            </w:r>
            <w:r>
              <w:rPr>
                <w:rStyle w:val="17"/>
                <w:rFonts w:hint="eastAsia" w:ascii="宋体" w:hAnsi="宋体" w:eastAsia="宋体" w:cs="宋体"/>
                <w:spacing w:val="6"/>
                <w:sz w:val="21"/>
                <w:szCs w:val="21"/>
                <w:lang w:val="en-US" w:eastAsia="zh-CN" w:bidi="ar"/>
              </w:rPr>
              <w:t>担赔偿责任：（三）损毁永久性测量标志，使永久性测量标志失去使用效能的，处50000元的罚款。</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375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市自然资源局</w:t>
            </w:r>
          </w:p>
        </w:tc>
      </w:tr>
      <w:tr w14:paraId="28A82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0EECC">
            <w:pPr>
              <w:keepNext w:val="0"/>
              <w:keepLines w:val="0"/>
              <w:pageBreakBefore w:val="0"/>
              <w:widowControl/>
              <w:suppressLineNumbers w:val="0"/>
              <w:kinsoku/>
              <w:wordWrap/>
              <w:overflowPunct/>
              <w:topLinePunct w:val="0"/>
              <w:autoSpaceDE/>
              <w:autoSpaceDN/>
              <w:bidi w:val="0"/>
              <w:adjustRightInd/>
              <w:snapToGrid/>
              <w:spacing w:before="625" w:beforeLines="200"/>
              <w:jc w:val="center"/>
              <w:textAlignment w:val="center"/>
              <w:rPr>
                <w:rFonts w:hint="eastAsia" w:ascii="宋体" w:hAnsi="宋体" w:eastAsia="宋体" w:cs="宋体"/>
                <w:i w:val="0"/>
                <w:iCs w:val="0"/>
                <w:color w:val="000000"/>
                <w:sz w:val="21"/>
                <w:szCs w:val="21"/>
                <w:u w:val="none"/>
              </w:rPr>
            </w:pPr>
            <w:r>
              <w:rPr>
                <w:sz w:val="32"/>
              </w:rPr>
              <mc:AlternateContent>
                <mc:Choice Requires="wps">
                  <w:drawing>
                    <wp:anchor distT="0" distB="0" distL="114300" distR="114300" simplePos="0" relativeHeight="251660288" behindDoc="0" locked="0" layoutInCell="1" allowOverlap="1">
                      <wp:simplePos x="0" y="0"/>
                      <wp:positionH relativeFrom="column">
                        <wp:posOffset>-619125</wp:posOffset>
                      </wp:positionH>
                      <wp:positionV relativeFrom="paragraph">
                        <wp:posOffset>-420370</wp:posOffset>
                      </wp:positionV>
                      <wp:extent cx="514985" cy="5558155"/>
                      <wp:effectExtent l="0" t="0" r="3175" b="4445"/>
                      <wp:wrapNone/>
                      <wp:docPr id="9" name="文本框 9"/>
                      <wp:cNvGraphicFramePr/>
                      <a:graphic xmlns:a="http://schemas.openxmlformats.org/drawingml/2006/main">
                        <a:graphicData uri="http://schemas.microsoft.com/office/word/2010/wordprocessingShape">
                          <wps:wsp>
                            <wps:cNvSpPr txBox="1"/>
                            <wps:spPr>
                              <a:xfrm>
                                <a:off x="0" y="0"/>
                                <a:ext cx="514985" cy="55581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795AB6A">
                                  <w:pPr>
                                    <w:keepNext w:val="0"/>
                                    <w:keepLines w:val="0"/>
                                    <w:pageBreakBefore w:val="0"/>
                                    <w:widowControl w:val="0"/>
                                    <w:kinsoku/>
                                    <w:wordWrap/>
                                    <w:overflowPunct/>
                                    <w:topLinePunct w:val="0"/>
                                    <w:autoSpaceDE/>
                                    <w:autoSpaceDN/>
                                    <w:bidi w:val="0"/>
                                    <w:adjustRightInd/>
                                    <w:snapToGrid/>
                                    <w:ind w:left="420" w:leftChars="200" w:right="420" w:rightChars="200"/>
                                    <w:jc w:val="both"/>
                                    <w:textAlignment w:val="auto"/>
                                    <w:rPr>
                                      <w:rFonts w:hint="eastAsia" w:ascii="宋体" w:hAnsi="宋体" w:eastAsia="宋体" w:cs="宋体"/>
                                      <w:sz w:val="28"/>
                                      <w:szCs w:val="28"/>
                                      <w:lang w:val="en-US" w:eastAsia="zh-CN"/>
                                    </w:rPr>
                                  </w:pP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8.75pt;margin-top:-33.1pt;height:437.65pt;width:40.55pt;z-index:251660288;mso-width-relative:page;mso-height-relative:page;" fillcolor="#FFFFFF [3201]" filled="t" stroked="f" coordsize="21600,21600" o:gfxdata="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7xqUcdoAAAAL&#10;AQAADwAAAAAAAAABACAAAAAiAAAAZHJzL2Rvd25yZXYueG1sUEsBAhQAFAAAAAgAh07iQAGt9PFT&#10;AgAAkQQAAA4AAAAAAAAAAQAgAAAAKQEAAGRycy9lMm9Eb2MueG1sUEsFBgAAAAAGAAYAWQEAAO4F&#10;AAAAAA==&#10;">
                      <v:fill on="t" focussize="0,0"/>
                      <v:stroke on="f" weight="0.5pt"/>
                      <v:imagedata o:title=""/>
                      <o:lock v:ext="edit" aspectratio="f"/>
                      <v:textbox style="layout-flow:vertical-ideographic;">
                        <w:txbxContent>
                          <w:p w14:paraId="7795AB6A">
                            <w:pPr>
                              <w:keepNext w:val="0"/>
                              <w:keepLines w:val="0"/>
                              <w:pageBreakBefore w:val="0"/>
                              <w:widowControl w:val="0"/>
                              <w:kinsoku/>
                              <w:wordWrap/>
                              <w:overflowPunct/>
                              <w:topLinePunct w:val="0"/>
                              <w:autoSpaceDE/>
                              <w:autoSpaceDN/>
                              <w:bidi w:val="0"/>
                              <w:adjustRightInd/>
                              <w:snapToGrid/>
                              <w:ind w:left="420" w:leftChars="200" w:right="420" w:rightChars="200"/>
                              <w:jc w:val="both"/>
                              <w:textAlignment w:val="auto"/>
                              <w:rPr>
                                <w:rFonts w:hint="eastAsia" w:ascii="宋体" w:hAnsi="宋体" w:eastAsia="宋体" w:cs="宋体"/>
                                <w:sz w:val="28"/>
                                <w:szCs w:val="28"/>
                                <w:lang w:val="en-US" w:eastAsia="zh-CN"/>
                              </w:rPr>
                            </w:pPr>
                          </w:p>
                        </w:txbxContent>
                      </v:textbox>
                    </v:shape>
                  </w:pict>
                </mc:Fallback>
              </mc:AlternateContent>
            </w:r>
            <w:r>
              <w:rPr>
                <w:rFonts w:hint="eastAsia" w:ascii="宋体" w:hAnsi="宋体" w:eastAsia="宋体" w:cs="宋体"/>
                <w:i w:val="0"/>
                <w:iCs w:val="0"/>
                <w:color w:val="000000"/>
                <w:kern w:val="0"/>
                <w:sz w:val="21"/>
                <w:szCs w:val="21"/>
                <w:u w:val="none"/>
                <w:lang w:val="en-US" w:eastAsia="zh-CN" w:bidi="ar"/>
              </w:rPr>
              <w:t>2</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643C5">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对占用耕地建窑、建坟或者擅自在耕地上建房、挖砂、采石、采矿、取土等破坏种</w:t>
            </w:r>
            <w:r>
              <w:rPr>
                <w:rFonts w:hint="eastAsia" w:ascii="宋体" w:hAnsi="宋体" w:eastAsia="宋体" w:cs="宋体"/>
                <w:i w:val="0"/>
                <w:iCs w:val="0"/>
                <w:color w:val="000000"/>
                <w:spacing w:val="-6"/>
                <w:kern w:val="0"/>
                <w:sz w:val="21"/>
                <w:szCs w:val="21"/>
                <w:u w:val="none"/>
                <w:lang w:val="en-US" w:eastAsia="zh-CN" w:bidi="ar"/>
              </w:rPr>
              <w:t>植条件的行为的处罚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8EAE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25757">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《中华人民共和国土地管理法》第七十五条</w:t>
            </w:r>
            <w:r>
              <w:rPr>
                <w:rStyle w:val="19"/>
                <w:rFonts w:hint="eastAsia" w:ascii="宋体" w:hAnsi="宋体" w:cs="宋体"/>
                <w:sz w:val="21"/>
                <w:szCs w:val="21"/>
                <w:lang w:val="en-US" w:eastAsia="zh-CN" w:bidi="ar"/>
              </w:rPr>
              <w:t xml:space="preserve">  </w:t>
            </w:r>
            <w:r>
              <w:rPr>
                <w:rStyle w:val="17"/>
                <w:rFonts w:hint="eastAsia" w:ascii="宋体" w:hAnsi="宋体" w:eastAsia="宋体" w:cs="宋体"/>
                <w:sz w:val="21"/>
                <w:szCs w:val="21"/>
                <w:lang w:val="en-US" w:eastAsia="zh-CN" w:bidi="ar"/>
              </w:rPr>
              <w:t>违反本法规定，占用耕地建窑、建坟或者擅自在耕地上建房、挖砂、采石、采矿、取土等，破坏种植条件的，或者因开发土地造成土地荒漠化、盐渍化的，由县级以上人民政府自然资源主管部门、农业农村主管部门等按照职责责令限期改正或者治理，可以并处罚款；构成犯罪的，依法追究刑事责任。</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7AFA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市自然资源局</w:t>
            </w:r>
          </w:p>
          <w:p w14:paraId="1D517B6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市农业农村局</w:t>
            </w:r>
          </w:p>
        </w:tc>
      </w:tr>
      <w:tr w14:paraId="138D4D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14"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D5B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2B01C">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对未经业主大会同意，物业服务企业擅自改变物业管理用</w:t>
            </w:r>
            <w:r>
              <w:rPr>
                <w:rFonts w:hint="eastAsia" w:ascii="宋体" w:hAnsi="宋体" w:eastAsia="宋体" w:cs="宋体"/>
                <w:i w:val="0"/>
                <w:iCs w:val="0"/>
                <w:color w:val="000000"/>
                <w:spacing w:val="-6"/>
                <w:kern w:val="0"/>
                <w:sz w:val="21"/>
                <w:szCs w:val="21"/>
                <w:u w:val="none"/>
                <w:lang w:val="en-US" w:eastAsia="zh-CN" w:bidi="ar"/>
              </w:rPr>
              <w:t>房用途的行为的处罚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6DB3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18FB6">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《物业管理条例》（国务院令第698号）第六十二条</w:t>
            </w:r>
            <w:r>
              <w:rPr>
                <w:rStyle w:val="17"/>
                <w:rFonts w:hint="eastAsia" w:ascii="宋体" w:hAnsi="宋体" w:eastAsia="宋体" w:cs="宋体"/>
                <w:sz w:val="21"/>
                <w:szCs w:val="21"/>
                <w:lang w:val="en-US" w:eastAsia="zh-CN" w:bidi="ar"/>
              </w:rPr>
              <w:t xml:space="preserve">  违反本条例的规定，未经业主大会同意，物业服务企业擅自改变物业管理用房的用途的，应由县级以上地方人民政府房地产行政主管部门责令限期改正，给予警告，并处1万元以上10万元以下的罚款；有收益的，所得收益用于物业管理区域内物业共用部位、共用设施设备的维修、养护，剩余部分按照业主大会的决定使用。</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D7F1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市住房和城乡建设管理局</w:t>
            </w:r>
          </w:p>
        </w:tc>
      </w:tr>
      <w:tr w14:paraId="665F8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3"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8267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8F19A">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对擅自改变物业管理区域内公共建筑和共用设施用途的行为的处罚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0E47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5B57F">
            <w:pPr>
              <w:keepNext w:val="0"/>
              <w:keepLines w:val="0"/>
              <w:widowControl/>
              <w:suppressLineNumbers w:val="0"/>
              <w:jc w:val="both"/>
              <w:textAlignment w:val="center"/>
              <w:rPr>
                <w:rStyle w:val="17"/>
                <w:rFonts w:hint="eastAsia" w:ascii="宋体" w:hAnsi="宋体" w:cs="宋体"/>
                <w:sz w:val="21"/>
                <w:szCs w:val="21"/>
                <w:lang w:val="en-US" w:eastAsia="zh-CN" w:bidi="ar"/>
              </w:rPr>
            </w:pPr>
            <w:r>
              <w:rPr>
                <w:rFonts w:hint="eastAsia" w:ascii="宋体" w:hAnsi="宋体" w:eastAsia="宋体" w:cs="宋体"/>
                <w:b/>
                <w:bCs/>
                <w:i w:val="0"/>
                <w:iCs w:val="0"/>
                <w:color w:val="000000"/>
                <w:kern w:val="0"/>
                <w:sz w:val="21"/>
                <w:szCs w:val="21"/>
                <w:u w:val="none"/>
                <w:lang w:val="en-US" w:eastAsia="zh-CN" w:bidi="ar"/>
              </w:rPr>
              <w:t>《物业管理条例》（国务院令第698号）第六十三条第一款第一项、第二款</w:t>
            </w:r>
            <w:r>
              <w:rPr>
                <w:rStyle w:val="17"/>
                <w:rFonts w:hint="eastAsia" w:ascii="宋体" w:hAnsi="宋体" w:eastAsia="宋体" w:cs="宋体"/>
                <w:sz w:val="21"/>
                <w:szCs w:val="21"/>
                <w:lang w:val="en-US" w:eastAsia="zh-CN" w:bidi="ar"/>
              </w:rPr>
              <w:t xml:space="preserve">  违反本条例的规定，有下列行为之一的，由县级以上地方人民政府房地产行政主管部门责令限期改正，给予警告，并按照本条第二款的规定处以罚款；所得收益，用于物业管理区域内物业共用部位、共用设施设备的维修、养护，剩余部分按照业主大会的决定使用：（一）擅自改变物业管理区域内按照规划建设的公共建筑和共用设施用途的</w:t>
            </w:r>
            <w:r>
              <w:rPr>
                <w:rStyle w:val="17"/>
                <w:rFonts w:hint="eastAsia" w:ascii="宋体" w:hAnsi="宋体" w:cs="宋体"/>
                <w:sz w:val="21"/>
                <w:szCs w:val="21"/>
                <w:lang w:val="en-US" w:eastAsia="zh-CN" w:bidi="ar"/>
              </w:rPr>
              <w:t>。</w:t>
            </w:r>
          </w:p>
          <w:p w14:paraId="521C35E1">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Style w:val="17"/>
                <w:rFonts w:hint="eastAsia" w:ascii="宋体" w:hAnsi="宋体" w:eastAsia="宋体" w:cs="宋体"/>
                <w:sz w:val="21"/>
                <w:szCs w:val="21"/>
                <w:lang w:val="en-US" w:eastAsia="zh-CN" w:bidi="ar"/>
              </w:rPr>
              <w:t>个人有前款规定行为之一的，处1000元以上1万元以下的罚款；单位有前款规定行为之一的，处5万元以上20万元以下的罚款。</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2ED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市住房和城乡建设管理局</w:t>
            </w:r>
          </w:p>
        </w:tc>
      </w:tr>
      <w:tr w14:paraId="2E1A2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4"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DE04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ECBDE">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对公共场所随地吐痰的行为的处罚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BDB8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E5F43">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《山西省禁止公共场所随地吐痰的规定》（省第十三届人大常委会第十八次会议于2020年5月15日通过）第十五条</w:t>
            </w:r>
            <w:r>
              <w:rPr>
                <w:rStyle w:val="17"/>
                <w:rFonts w:hint="eastAsia" w:ascii="宋体" w:hAnsi="宋体" w:eastAsia="宋体" w:cs="宋体"/>
                <w:sz w:val="21"/>
                <w:szCs w:val="21"/>
                <w:lang w:val="en-US" w:eastAsia="zh-CN" w:bidi="ar"/>
              </w:rPr>
              <w:t xml:space="preserve"> </w:t>
            </w:r>
            <w:r>
              <w:rPr>
                <w:rStyle w:val="17"/>
                <w:rFonts w:hint="eastAsia" w:ascii="宋体" w:hAnsi="宋体" w:cs="宋体"/>
                <w:sz w:val="21"/>
                <w:szCs w:val="21"/>
                <w:lang w:val="en-US" w:eastAsia="zh-CN" w:bidi="ar"/>
              </w:rPr>
              <w:t xml:space="preserve"> </w:t>
            </w:r>
            <w:r>
              <w:rPr>
                <w:rStyle w:val="17"/>
                <w:rFonts w:hint="eastAsia" w:ascii="宋体" w:hAnsi="宋体" w:eastAsia="宋体" w:cs="宋体"/>
                <w:sz w:val="21"/>
                <w:szCs w:val="21"/>
                <w:lang w:val="en-US" w:eastAsia="zh-CN" w:bidi="ar"/>
              </w:rPr>
              <w:t>在公共场所随地吐痰的，由县级以上人民政府城市管理行政执法部门或者其依法委托的单位责令清除痰渍，并可以予以警告；拒不清除的，可以按照下列规定予以处罚：（一）在室外公共场所随地吐痰的，处一百元以上二百元以下的罚款；（二）在室内公共场所随地吐痰的，处二百元以上三百元以下的罚款；（三）在公共交通工具、电梯轿厢等公共密闭空间内随地吐痰的，处三百元以上五百元以下的罚款。</w:t>
            </w:r>
            <w:r>
              <w:rPr>
                <w:rStyle w:val="17"/>
                <w:rFonts w:hint="eastAsia" w:ascii="宋体" w:hAnsi="宋体" w:eastAsia="宋体" w:cs="宋体"/>
                <w:sz w:val="21"/>
                <w:szCs w:val="21"/>
                <w:lang w:val="en-US" w:eastAsia="zh-CN" w:bidi="ar"/>
              </w:rPr>
              <w:br w:type="textWrapping"/>
            </w:r>
            <w:r>
              <w:rPr>
                <w:rStyle w:val="17"/>
                <w:rFonts w:hint="eastAsia" w:ascii="宋体" w:hAnsi="宋体" w:eastAsia="宋体" w:cs="宋体"/>
                <w:sz w:val="21"/>
                <w:szCs w:val="21"/>
                <w:lang w:val="en-US" w:eastAsia="zh-CN" w:bidi="ar"/>
              </w:rPr>
              <w:t>违反本规定的其他行为，法律、行政法规已有法律责任规定的，从其规定。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2C90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市住房和城乡建设管理局</w:t>
            </w:r>
          </w:p>
        </w:tc>
      </w:tr>
      <w:tr w14:paraId="417B70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408F6">
            <w:pPr>
              <w:keepNext w:val="0"/>
              <w:keepLines w:val="0"/>
              <w:pageBreakBefore w:val="0"/>
              <w:widowControl/>
              <w:suppressLineNumbers w:val="0"/>
              <w:kinsoku/>
              <w:wordWrap/>
              <w:overflowPunct/>
              <w:topLinePunct w:val="0"/>
              <w:autoSpaceDE/>
              <w:autoSpaceDN/>
              <w:bidi w:val="0"/>
              <w:adjustRightInd/>
              <w:snapToGrid/>
              <w:spacing w:before="781" w:beforeLines="250"/>
              <w:jc w:val="center"/>
              <w:textAlignment w:val="center"/>
              <w:rPr>
                <w:rFonts w:hint="eastAsia" w:ascii="宋体" w:hAnsi="宋体" w:eastAsia="宋体" w:cs="宋体"/>
                <w:i w:val="0"/>
                <w:iCs w:val="0"/>
                <w:color w:val="000000"/>
                <w:sz w:val="21"/>
                <w:szCs w:val="21"/>
                <w:u w:val="none"/>
              </w:rPr>
            </w:pPr>
            <w:r>
              <w:rPr>
                <w:sz w:val="32"/>
              </w:rPr>
              <mc:AlternateContent>
                <mc:Choice Requires="wps">
                  <w:drawing>
                    <wp:anchor distT="0" distB="0" distL="114300" distR="114300" simplePos="0" relativeHeight="251661312" behindDoc="0" locked="0" layoutInCell="1" allowOverlap="1">
                      <wp:simplePos x="0" y="0"/>
                      <wp:positionH relativeFrom="column">
                        <wp:posOffset>-619125</wp:posOffset>
                      </wp:positionH>
                      <wp:positionV relativeFrom="paragraph">
                        <wp:posOffset>-420370</wp:posOffset>
                      </wp:positionV>
                      <wp:extent cx="514985" cy="5558155"/>
                      <wp:effectExtent l="0" t="0" r="3175" b="4445"/>
                      <wp:wrapNone/>
                      <wp:docPr id="10" name="文本框 10"/>
                      <wp:cNvGraphicFramePr/>
                      <a:graphic xmlns:a="http://schemas.openxmlformats.org/drawingml/2006/main">
                        <a:graphicData uri="http://schemas.microsoft.com/office/word/2010/wordprocessingShape">
                          <wps:wsp>
                            <wps:cNvSpPr txBox="1"/>
                            <wps:spPr>
                              <a:xfrm>
                                <a:off x="0" y="0"/>
                                <a:ext cx="514985" cy="55581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5A5D952">
                                  <w:pPr>
                                    <w:keepNext w:val="0"/>
                                    <w:keepLines w:val="0"/>
                                    <w:pageBreakBefore w:val="0"/>
                                    <w:widowControl w:val="0"/>
                                    <w:kinsoku/>
                                    <w:wordWrap/>
                                    <w:overflowPunct/>
                                    <w:topLinePunct w:val="0"/>
                                    <w:autoSpaceDE/>
                                    <w:autoSpaceDN/>
                                    <w:bidi w:val="0"/>
                                    <w:adjustRightInd/>
                                    <w:snapToGrid/>
                                    <w:ind w:left="420" w:leftChars="200" w:right="420" w:rightChars="200"/>
                                    <w:jc w:val="left"/>
                                    <w:textAlignment w:val="auto"/>
                                    <w:rPr>
                                      <w:rFonts w:hint="eastAsia" w:ascii="宋体" w:hAnsi="宋体" w:eastAsia="宋体" w:cs="宋体"/>
                                      <w:sz w:val="28"/>
                                      <w:szCs w:val="28"/>
                                      <w:lang w:val="en-US" w:eastAsia="zh-CN"/>
                                    </w:rPr>
                                  </w:pP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8.75pt;margin-top:-33.1pt;height:437.65pt;width:40.55pt;z-index:251661312;mso-width-relative:page;mso-height-relative:page;" fillcolor="#FFFFFF [3201]" filled="t" stroked="f" coordsize="21600,21600" o:gfxdata="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7xqUcdoAAAAL&#10;AQAADwAAAAAAAAABACAAAAAiAAAAZHJzL2Rvd25yZXYueG1sUEsBAhQAFAAAAAgAh07iQJsT2IBT&#10;AgAAkwQAAA4AAAAAAAAAAQAgAAAAKQEAAGRycy9lMm9Eb2MueG1sUEsFBgAAAAAGAAYAWQEAAO4F&#10;AAAAAA==&#10;">
                      <v:fill on="t" focussize="0,0"/>
                      <v:stroke on="f" weight="0.5pt"/>
                      <v:imagedata o:title=""/>
                      <o:lock v:ext="edit" aspectratio="f"/>
                      <v:textbox style="layout-flow:vertical-ideographic;">
                        <w:txbxContent>
                          <w:p w14:paraId="25A5D952">
                            <w:pPr>
                              <w:keepNext w:val="0"/>
                              <w:keepLines w:val="0"/>
                              <w:pageBreakBefore w:val="0"/>
                              <w:widowControl w:val="0"/>
                              <w:kinsoku/>
                              <w:wordWrap/>
                              <w:overflowPunct/>
                              <w:topLinePunct w:val="0"/>
                              <w:autoSpaceDE/>
                              <w:autoSpaceDN/>
                              <w:bidi w:val="0"/>
                              <w:adjustRightInd/>
                              <w:snapToGrid/>
                              <w:ind w:left="420" w:leftChars="200" w:right="420" w:rightChars="200"/>
                              <w:jc w:val="left"/>
                              <w:textAlignment w:val="auto"/>
                              <w:rPr>
                                <w:rFonts w:hint="eastAsia" w:ascii="宋体" w:hAnsi="宋体" w:eastAsia="宋体" w:cs="宋体"/>
                                <w:sz w:val="28"/>
                                <w:szCs w:val="28"/>
                                <w:lang w:val="en-US" w:eastAsia="zh-CN"/>
                              </w:rPr>
                            </w:pPr>
                          </w:p>
                        </w:txbxContent>
                      </v:textbox>
                    </v:shape>
                  </w:pict>
                </mc:Fallback>
              </mc:AlternateContent>
            </w:r>
            <w:r>
              <w:rPr>
                <w:rFonts w:hint="eastAsia" w:ascii="宋体" w:hAnsi="宋体" w:eastAsia="宋体" w:cs="宋体"/>
                <w:i w:val="0"/>
                <w:iCs w:val="0"/>
                <w:color w:val="000000"/>
                <w:kern w:val="0"/>
                <w:sz w:val="21"/>
                <w:szCs w:val="21"/>
                <w:u w:val="none"/>
                <w:lang w:val="en-US" w:eastAsia="zh-CN" w:bidi="ar"/>
              </w:rPr>
              <w:t>6</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56C77">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对随意倾倒、抛撒、堆放或者焚烧生活垃圾的行为的处罚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127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2B348">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《中华人民共和国固体废物污染环境防治法》第一百一十一条第一款第一项、第二款</w:t>
            </w:r>
            <w:r>
              <w:rPr>
                <w:rFonts w:hint="eastAsia" w:ascii="宋体" w:hAnsi="宋体" w:cs="宋体"/>
                <w:b/>
                <w:bCs/>
                <w:i w:val="0"/>
                <w:iCs w:val="0"/>
                <w:color w:val="000000"/>
                <w:kern w:val="0"/>
                <w:sz w:val="21"/>
                <w:szCs w:val="21"/>
                <w:u w:val="none"/>
                <w:lang w:val="en-US" w:eastAsia="zh-CN" w:bidi="ar"/>
              </w:rPr>
              <w:t xml:space="preserve">  </w:t>
            </w:r>
            <w:r>
              <w:rPr>
                <w:rStyle w:val="17"/>
                <w:rFonts w:hint="eastAsia" w:ascii="宋体" w:hAnsi="宋体" w:eastAsia="宋体" w:cs="宋体"/>
                <w:sz w:val="21"/>
                <w:szCs w:val="21"/>
                <w:lang w:val="en-US" w:eastAsia="zh-CN" w:bidi="ar"/>
              </w:rPr>
              <w:t>违反本法规定，有下列行为之一，由县级以上地方人民政府环境卫生主管部门责令改正，处以罚款，没收违法所得：（一）随意倾倒、抛撒、堆放或者焚烧生活垃圾的</w:t>
            </w:r>
            <w:r>
              <w:rPr>
                <w:rStyle w:val="17"/>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br w:type="textWrapping"/>
            </w:r>
            <w:r>
              <w:rPr>
                <w:rStyle w:val="17"/>
                <w:rFonts w:hint="eastAsia" w:ascii="宋体" w:hAnsi="宋体" w:eastAsia="宋体" w:cs="宋体"/>
                <w:sz w:val="21"/>
                <w:szCs w:val="21"/>
                <w:lang w:val="en-US" w:eastAsia="zh-CN" w:bidi="ar"/>
              </w:rPr>
              <w:t>单位有前款第一项、第七项行为之一，处五万元以上五十万元以下的罚款；个人有前款第一项、第五项、第七项行为之一，处一百元以上五百元以下的罚款。</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49E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市住房和城乡建设管理局</w:t>
            </w:r>
          </w:p>
        </w:tc>
      </w:tr>
      <w:tr w14:paraId="641F4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92"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15F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C57AB">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对搭建、堆放、吊挂影响城镇容貌的物品的行为的处罚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2CEA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22C93">
            <w:pPr>
              <w:keepNext w:val="0"/>
              <w:keepLines w:val="0"/>
              <w:widowControl/>
              <w:suppressLineNumbers w:val="0"/>
              <w:jc w:val="both"/>
              <w:textAlignment w:val="center"/>
              <w:rPr>
                <w:rStyle w:val="17"/>
                <w:rFonts w:hint="eastAsia" w:ascii="宋体" w:hAnsi="宋体" w:eastAsia="宋体" w:cs="宋体"/>
                <w:sz w:val="21"/>
                <w:szCs w:val="21"/>
                <w:lang w:val="en-US" w:eastAsia="zh-CN" w:bidi="ar"/>
              </w:rPr>
            </w:pPr>
            <w:r>
              <w:rPr>
                <w:rFonts w:hint="eastAsia" w:ascii="宋体" w:hAnsi="宋体" w:eastAsia="宋体" w:cs="宋体"/>
                <w:b/>
                <w:bCs/>
                <w:i w:val="0"/>
                <w:iCs w:val="0"/>
                <w:color w:val="000000"/>
                <w:kern w:val="0"/>
                <w:sz w:val="21"/>
                <w:szCs w:val="21"/>
                <w:u w:val="none"/>
                <w:lang w:val="en-US" w:eastAsia="zh-CN" w:bidi="ar"/>
              </w:rPr>
              <w:t>《城市市容和环境卫生管理条例》（国务院令第101号）第三十四条第一款第三项</w:t>
            </w:r>
            <w:r>
              <w:rPr>
                <w:rStyle w:val="17"/>
                <w:rFonts w:hint="eastAsia" w:ascii="宋体" w:hAnsi="宋体" w:eastAsia="宋体" w:cs="宋体"/>
                <w:sz w:val="21"/>
                <w:szCs w:val="21"/>
                <w:lang w:val="en-US" w:eastAsia="zh-CN" w:bidi="ar"/>
              </w:rPr>
              <w:t xml:space="preserve"> </w:t>
            </w:r>
            <w:r>
              <w:rPr>
                <w:rStyle w:val="17"/>
                <w:rFonts w:hint="eastAsia" w:ascii="宋体" w:hAnsi="宋体" w:cs="宋体"/>
                <w:sz w:val="21"/>
                <w:szCs w:val="21"/>
                <w:lang w:val="en-US" w:eastAsia="zh-CN" w:bidi="ar"/>
              </w:rPr>
              <w:t xml:space="preserve"> </w:t>
            </w:r>
            <w:r>
              <w:rPr>
                <w:rStyle w:val="17"/>
                <w:rFonts w:hint="eastAsia" w:ascii="宋体" w:hAnsi="宋体" w:eastAsia="宋体" w:cs="宋体"/>
                <w:sz w:val="21"/>
                <w:szCs w:val="21"/>
                <w:lang w:val="en-US" w:eastAsia="zh-CN" w:bidi="ar"/>
              </w:rPr>
              <w:t>有下列行为之一者，城市人民政府市容环境卫生行政主管部门或者其委托的单位除责令其纠正违法行为、采取补救措施外，可以并处警告、罚款：（三）在城市人民政府规定的街道的临街建筑物的阳台和窗外，堆放、吊挂有碍市容的物品的</w:t>
            </w:r>
            <w:r>
              <w:rPr>
                <w:rStyle w:val="17"/>
                <w:rFonts w:hint="eastAsia" w:ascii="宋体" w:hAnsi="宋体" w:cs="宋体"/>
                <w:sz w:val="21"/>
                <w:szCs w:val="21"/>
                <w:lang w:val="en-US" w:eastAsia="zh-CN" w:bidi="ar"/>
              </w:rPr>
              <w:t>。</w:t>
            </w:r>
          </w:p>
          <w:p w14:paraId="155E94A8">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Style w:val="18"/>
                <w:rFonts w:hint="eastAsia" w:ascii="宋体" w:hAnsi="宋体" w:eastAsia="宋体" w:cs="宋体"/>
                <w:sz w:val="21"/>
                <w:szCs w:val="21"/>
                <w:lang w:val="en-US" w:eastAsia="zh-CN" w:bidi="ar"/>
              </w:rPr>
              <w:t>《山西省城乡环境综合治理条例》（省第十二届人大常委会第三十九次会议于2017年7月4日通过）第五十九条第一款第一项</w:t>
            </w:r>
            <w:r>
              <w:rPr>
                <w:rStyle w:val="17"/>
                <w:rFonts w:hint="eastAsia" w:ascii="宋体" w:hAnsi="宋体" w:eastAsia="宋体" w:cs="宋体"/>
                <w:sz w:val="21"/>
                <w:szCs w:val="21"/>
                <w:lang w:val="en-US" w:eastAsia="zh-CN" w:bidi="ar"/>
              </w:rPr>
              <w:t xml:space="preserve"> </w:t>
            </w:r>
            <w:r>
              <w:rPr>
                <w:rStyle w:val="17"/>
                <w:rFonts w:hint="eastAsia" w:ascii="宋体" w:hAnsi="宋体" w:cs="宋体"/>
                <w:sz w:val="21"/>
                <w:szCs w:val="21"/>
                <w:lang w:val="en-US" w:eastAsia="zh-CN" w:bidi="ar"/>
              </w:rPr>
              <w:t xml:space="preserve"> </w:t>
            </w:r>
            <w:r>
              <w:rPr>
                <w:rStyle w:val="17"/>
                <w:rFonts w:hint="eastAsia" w:ascii="宋体" w:hAnsi="宋体" w:eastAsia="宋体" w:cs="宋体"/>
                <w:sz w:val="21"/>
                <w:szCs w:val="21"/>
                <w:lang w:val="en-US" w:eastAsia="zh-CN" w:bidi="ar"/>
              </w:rPr>
              <w:t>违反本条例规定，有下列情形之一的，由有关主管部门予以警告，并责令改正或者限期清理；拒不改正或者清理的，对单位处一千元以上五千元以下罚款，对个人处五十元以上二百元以下罚款，可以代为清理，清理费用由违法行为人承担：（一）搭建、堆放、吊挂影响城镇容貌的物品的</w:t>
            </w:r>
            <w:r>
              <w:rPr>
                <w:rStyle w:val="17"/>
                <w:rFonts w:hint="eastAsia" w:ascii="宋体" w:hAnsi="宋体" w:cs="宋体"/>
                <w:sz w:val="21"/>
                <w:szCs w:val="21"/>
                <w:lang w:val="en-US" w:eastAsia="zh-CN" w:bidi="ar"/>
              </w:rPr>
              <w:t>。</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6945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市住房和城乡建设管理局</w:t>
            </w:r>
          </w:p>
        </w:tc>
      </w:tr>
      <w:tr w14:paraId="62C961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87"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8051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31D0B">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对在城镇道路、建筑物、构筑物、树木、市政及其他设施上涂写、刻画，擅自张贴广告、墙报、标语和海报等宣传品的行为的处罚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A12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0A353">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 xml:space="preserve">《城市市容和环境卫生管理条例》（国务院令第101号）第三十四条第一款第二项 </w:t>
            </w:r>
            <w:r>
              <w:rPr>
                <w:rStyle w:val="17"/>
                <w:rFonts w:hint="eastAsia" w:ascii="宋体" w:hAnsi="宋体" w:eastAsia="宋体" w:cs="宋体"/>
                <w:sz w:val="21"/>
                <w:szCs w:val="21"/>
                <w:lang w:val="en-US" w:eastAsia="zh-CN" w:bidi="ar"/>
              </w:rPr>
              <w:t xml:space="preserve"> 有下列行为之一者，城市人民政府市容环境卫生行政主管部门或者其委托的单位除责令其纠正违法行为、采取补救措施外，可以并处警告、罚款：（二）在城市建筑物、设施以及树木上涂写、刻画或者未经批准张挂、张贴宣传品等的</w:t>
            </w:r>
            <w:r>
              <w:rPr>
                <w:rStyle w:val="17"/>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br w:type="textWrapping"/>
            </w:r>
            <w:r>
              <w:rPr>
                <w:rStyle w:val="18"/>
                <w:rFonts w:hint="eastAsia" w:ascii="宋体" w:hAnsi="宋体" w:eastAsia="宋体" w:cs="宋体"/>
                <w:sz w:val="21"/>
                <w:szCs w:val="21"/>
                <w:lang w:val="en-US" w:eastAsia="zh-CN" w:bidi="ar"/>
              </w:rPr>
              <w:t xml:space="preserve">《山西省城乡环境综合治理条例》（省第十二届人大常委会第三十九次会议于2017年7月4日通过）第五十九条第一款第二项 </w:t>
            </w:r>
            <w:r>
              <w:rPr>
                <w:rStyle w:val="17"/>
                <w:rFonts w:hint="eastAsia" w:ascii="宋体" w:hAnsi="宋体" w:eastAsia="宋体" w:cs="宋体"/>
                <w:sz w:val="21"/>
                <w:szCs w:val="21"/>
                <w:lang w:val="en-US" w:eastAsia="zh-CN" w:bidi="ar"/>
              </w:rPr>
              <w:t xml:space="preserve"> 违反本条例规定，有下列情形之一的，由有关主管部门予以警告，并责令改正或者限期清理；拒不改正或者清理的，对单位处一千元以上五千元以下罚款，对个人处五十元以上二百元以下罚款，可以代为清理，清理费用由违法行为人承担：（二）在城镇道路、建筑物、构筑物、树木、市政及其他设施上涂写、刻画，擅自张贴广告、墙报、标语和海报等宣传品的</w:t>
            </w:r>
            <w:r>
              <w:rPr>
                <w:rStyle w:val="17"/>
                <w:rFonts w:hint="eastAsia" w:ascii="宋体" w:hAnsi="宋体" w:cs="宋体"/>
                <w:sz w:val="21"/>
                <w:szCs w:val="21"/>
                <w:lang w:val="en-US" w:eastAsia="zh-CN" w:bidi="ar"/>
              </w:rPr>
              <w:t>。</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5A1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市住房和城乡建设管理局</w:t>
            </w:r>
          </w:p>
        </w:tc>
      </w:tr>
      <w:tr w14:paraId="3B86D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1"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97D12">
            <w:pPr>
              <w:keepNext w:val="0"/>
              <w:keepLines w:val="0"/>
              <w:pageBreakBefore w:val="0"/>
              <w:widowControl/>
              <w:suppressLineNumbers w:val="0"/>
              <w:kinsoku/>
              <w:wordWrap/>
              <w:overflowPunct/>
              <w:topLinePunct w:val="0"/>
              <w:autoSpaceDE/>
              <w:autoSpaceDN/>
              <w:bidi w:val="0"/>
              <w:adjustRightInd/>
              <w:snapToGrid/>
              <w:spacing w:before="1093" w:beforeLines="350"/>
              <w:jc w:val="center"/>
              <w:textAlignment w:val="center"/>
              <w:rPr>
                <w:rFonts w:hint="eastAsia" w:ascii="宋体" w:hAnsi="宋体" w:eastAsia="宋体" w:cs="宋体"/>
                <w:i w:val="0"/>
                <w:iCs w:val="0"/>
                <w:color w:val="000000"/>
                <w:sz w:val="21"/>
                <w:szCs w:val="21"/>
                <w:u w:val="none"/>
              </w:rPr>
            </w:pPr>
            <w:r>
              <w:rPr>
                <w:sz w:val="32"/>
              </w:rPr>
              <mc:AlternateContent>
                <mc:Choice Requires="wps">
                  <w:drawing>
                    <wp:anchor distT="0" distB="0" distL="114300" distR="114300" simplePos="0" relativeHeight="251662336" behindDoc="0" locked="0" layoutInCell="1" allowOverlap="1">
                      <wp:simplePos x="0" y="0"/>
                      <wp:positionH relativeFrom="column">
                        <wp:posOffset>-619125</wp:posOffset>
                      </wp:positionH>
                      <wp:positionV relativeFrom="paragraph">
                        <wp:posOffset>-420370</wp:posOffset>
                      </wp:positionV>
                      <wp:extent cx="514985" cy="5558155"/>
                      <wp:effectExtent l="0" t="0" r="3175" b="4445"/>
                      <wp:wrapNone/>
                      <wp:docPr id="11" name="文本框 11"/>
                      <wp:cNvGraphicFramePr/>
                      <a:graphic xmlns:a="http://schemas.openxmlformats.org/drawingml/2006/main">
                        <a:graphicData uri="http://schemas.microsoft.com/office/word/2010/wordprocessingShape">
                          <wps:wsp>
                            <wps:cNvSpPr txBox="1"/>
                            <wps:spPr>
                              <a:xfrm>
                                <a:off x="0" y="0"/>
                                <a:ext cx="514985" cy="55581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9015B3F">
                                  <w:pPr>
                                    <w:keepNext w:val="0"/>
                                    <w:keepLines w:val="0"/>
                                    <w:pageBreakBefore w:val="0"/>
                                    <w:widowControl w:val="0"/>
                                    <w:kinsoku/>
                                    <w:wordWrap/>
                                    <w:overflowPunct/>
                                    <w:topLinePunct w:val="0"/>
                                    <w:autoSpaceDE/>
                                    <w:autoSpaceDN/>
                                    <w:bidi w:val="0"/>
                                    <w:adjustRightInd/>
                                    <w:snapToGrid/>
                                    <w:ind w:left="420" w:leftChars="200" w:right="420" w:rightChars="200"/>
                                    <w:jc w:val="right"/>
                                    <w:textAlignment w:val="auto"/>
                                    <w:rPr>
                                      <w:rFonts w:hint="eastAsia" w:ascii="宋体" w:hAnsi="宋体" w:eastAsia="宋体" w:cs="宋体"/>
                                      <w:sz w:val="28"/>
                                      <w:szCs w:val="28"/>
                                      <w:lang w:val="en-US" w:eastAsia="zh-CN"/>
                                    </w:rPr>
                                  </w:pP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8.75pt;margin-top:-33.1pt;height:437.65pt;width:40.55pt;z-index:251662336;mso-width-relative:page;mso-height-relative:page;" fillcolor="#FFFFFF [3201]" filled="t" stroked="f" coordsize="21600,21600" o:gfxdata="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7xqUcdoAAAAL&#10;AQAADwAAAAAAAAABACAAAAAiAAAAZHJzL2Rvd25yZXYueG1sUEsBAhQAFAAAAAgAh07iQP2hxt9T&#10;AgAAkwQAAA4AAAAAAAAAAQAgAAAAKQEAAGRycy9lMm9Eb2MueG1sUEsFBgAAAAAGAAYAWQEAAO4F&#10;AAAAAA==&#10;">
                      <v:fill on="t" focussize="0,0"/>
                      <v:stroke on="f" weight="0.5pt"/>
                      <v:imagedata o:title=""/>
                      <o:lock v:ext="edit" aspectratio="f"/>
                      <v:textbox style="layout-flow:vertical-ideographic;">
                        <w:txbxContent>
                          <w:p w14:paraId="19015B3F">
                            <w:pPr>
                              <w:keepNext w:val="0"/>
                              <w:keepLines w:val="0"/>
                              <w:pageBreakBefore w:val="0"/>
                              <w:widowControl w:val="0"/>
                              <w:kinsoku/>
                              <w:wordWrap/>
                              <w:overflowPunct/>
                              <w:topLinePunct w:val="0"/>
                              <w:autoSpaceDE/>
                              <w:autoSpaceDN/>
                              <w:bidi w:val="0"/>
                              <w:adjustRightInd/>
                              <w:snapToGrid/>
                              <w:ind w:left="420" w:leftChars="200" w:right="420" w:rightChars="200"/>
                              <w:jc w:val="right"/>
                              <w:textAlignment w:val="auto"/>
                              <w:rPr>
                                <w:rFonts w:hint="eastAsia" w:ascii="宋体" w:hAnsi="宋体" w:eastAsia="宋体" w:cs="宋体"/>
                                <w:sz w:val="28"/>
                                <w:szCs w:val="28"/>
                                <w:lang w:val="en-US" w:eastAsia="zh-CN"/>
                              </w:rPr>
                            </w:pPr>
                          </w:p>
                        </w:txbxContent>
                      </v:textbox>
                    </v:shape>
                  </w:pict>
                </mc:Fallback>
              </mc:AlternateContent>
            </w:r>
            <w:r>
              <w:rPr>
                <w:rFonts w:hint="eastAsia" w:ascii="宋体" w:hAnsi="宋体" w:eastAsia="宋体" w:cs="宋体"/>
                <w:i w:val="0"/>
                <w:iCs w:val="0"/>
                <w:color w:val="000000"/>
                <w:kern w:val="0"/>
                <w:sz w:val="21"/>
                <w:szCs w:val="21"/>
                <w:u w:val="none"/>
                <w:lang w:val="en-US" w:eastAsia="zh-CN" w:bidi="ar"/>
              </w:rPr>
              <w:t>9</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3DB56">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对在城市住宅小区内饲养家禽、家畜的，或者饲养宠物影响环境卫生的行为的处罚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6BA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66EEA">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《城市市容和环境卫生管理条例》（国务院令第101号）第三十五条</w:t>
            </w:r>
            <w:r>
              <w:rPr>
                <w:rStyle w:val="17"/>
                <w:rFonts w:hint="eastAsia" w:ascii="宋体" w:hAnsi="宋体" w:eastAsia="宋体" w:cs="宋体"/>
                <w:sz w:val="21"/>
                <w:szCs w:val="21"/>
                <w:lang w:val="en-US" w:eastAsia="zh-CN" w:bidi="ar"/>
              </w:rPr>
              <w:t xml:space="preserve">  饲养家畜家禽影响市容和环境卫生的，由城市人民政府市容环境卫生行政主管部门或者其委托的单位，责令其限期处理或者予以没收，并可处以罚款。</w:t>
            </w:r>
            <w:r>
              <w:rPr>
                <w:rStyle w:val="17"/>
                <w:rFonts w:hint="eastAsia" w:ascii="宋体" w:hAnsi="宋体" w:eastAsia="宋体" w:cs="宋体"/>
                <w:sz w:val="21"/>
                <w:szCs w:val="21"/>
                <w:lang w:val="en-US" w:eastAsia="zh-CN" w:bidi="ar"/>
              </w:rPr>
              <w:br w:type="textWrapping"/>
            </w:r>
            <w:r>
              <w:rPr>
                <w:rStyle w:val="18"/>
                <w:rFonts w:hint="eastAsia" w:ascii="宋体" w:hAnsi="宋体" w:eastAsia="宋体" w:cs="宋体"/>
                <w:sz w:val="21"/>
                <w:szCs w:val="21"/>
                <w:lang w:val="en-US" w:eastAsia="zh-CN" w:bidi="ar"/>
              </w:rPr>
              <w:t>《山西省城乡环境综合治理条例》（省第十二届人大常委会第三十九次会议于2017年7月4日通过）第六十二条</w:t>
            </w:r>
            <w:r>
              <w:rPr>
                <w:rStyle w:val="17"/>
                <w:rFonts w:hint="eastAsia" w:ascii="宋体" w:hAnsi="宋体" w:eastAsia="宋体" w:cs="宋体"/>
                <w:sz w:val="21"/>
                <w:szCs w:val="21"/>
                <w:lang w:val="en-US" w:eastAsia="zh-CN" w:bidi="ar"/>
              </w:rPr>
              <w:t xml:space="preserve">  违反本条例规定，在城市住宅小区内饲养家禽、家畜的，或者饲养宠物影响环境卫生的，由有关主管部门责令限期处理；拒不处理的，予以没收，并处五十元以上二百元以下罚款。</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B9CF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市住房和城乡建设管理局</w:t>
            </w:r>
          </w:p>
        </w:tc>
      </w:tr>
      <w:tr w14:paraId="7DB30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7"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5352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E73C0">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对单位和个人随意倾倒、抛撒或者堆放建筑垃圾的行为的处罚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BFA6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1CDB2">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《城市建筑垃圾管理规定》（2005年中华人民共和国建设部令第139号公布）第二十六条</w:t>
            </w:r>
            <w:r>
              <w:rPr>
                <w:rFonts w:hint="eastAsia" w:ascii="宋体" w:hAnsi="宋体" w:cs="宋体"/>
                <w:b/>
                <w:bCs/>
                <w:i w:val="0"/>
                <w:iCs w:val="0"/>
                <w:color w:val="000000"/>
                <w:kern w:val="0"/>
                <w:sz w:val="21"/>
                <w:szCs w:val="21"/>
                <w:u w:val="none"/>
                <w:lang w:val="en-US" w:eastAsia="zh-CN" w:bidi="ar"/>
              </w:rPr>
              <w:t xml:space="preserve"> </w:t>
            </w:r>
            <w:r>
              <w:rPr>
                <w:rFonts w:hint="eastAsia" w:ascii="宋体" w:hAnsi="宋体" w:eastAsia="宋体" w:cs="宋体"/>
                <w:b/>
                <w:bCs/>
                <w:i w:val="0"/>
                <w:iCs w:val="0"/>
                <w:color w:val="000000"/>
                <w:kern w:val="0"/>
                <w:sz w:val="21"/>
                <w:szCs w:val="21"/>
                <w:u w:val="none"/>
                <w:lang w:val="en-US" w:eastAsia="zh-CN" w:bidi="ar"/>
              </w:rPr>
              <w:t xml:space="preserve"> </w:t>
            </w:r>
            <w:r>
              <w:rPr>
                <w:rStyle w:val="17"/>
                <w:rFonts w:hint="eastAsia" w:ascii="宋体" w:hAnsi="宋体" w:eastAsia="宋体" w:cs="宋体"/>
                <w:sz w:val="21"/>
                <w:szCs w:val="21"/>
                <w:lang w:val="en-US" w:eastAsia="zh-CN" w:bidi="ar"/>
              </w:rPr>
              <w:t>任何单位和个人随意倾倒、抛撒或者堆放建筑垃圾的，由城市人民政府市容环境卫生主管部门责令限期改正，给予警告，并对单位处5000元以上5万元以下罚款，对个人处200元以下罚款。</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6F48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市住房和城乡建设管理局</w:t>
            </w:r>
          </w:p>
        </w:tc>
      </w:tr>
      <w:tr w14:paraId="53934E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38"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692B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45982">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对未经批准在河道管理范围内采砂的行为的处罚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1E4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A3B3E">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《中华人民共和国河道管理条例》（1988年中华人民共和国国务院令第3号2018年修订）第四十四条第一款第四项</w:t>
            </w:r>
            <w:r>
              <w:rPr>
                <w:rStyle w:val="17"/>
                <w:rFonts w:hint="eastAsia" w:ascii="宋体" w:hAnsi="宋体" w:eastAsia="宋体" w:cs="宋体"/>
                <w:sz w:val="21"/>
                <w:szCs w:val="21"/>
                <w:lang w:val="en-US" w:eastAsia="zh-CN" w:bidi="ar"/>
              </w:rPr>
              <w:t xml:space="preserve"> </w:t>
            </w:r>
            <w:r>
              <w:rPr>
                <w:rStyle w:val="17"/>
                <w:rFonts w:hint="eastAsia" w:ascii="宋体" w:hAnsi="宋体" w:cs="宋体"/>
                <w:sz w:val="21"/>
                <w:szCs w:val="21"/>
                <w:lang w:val="en-US" w:eastAsia="zh-CN" w:bidi="ar"/>
              </w:rPr>
              <w:t xml:space="preserve"> </w:t>
            </w:r>
            <w:r>
              <w:rPr>
                <w:rStyle w:val="17"/>
                <w:rFonts w:hint="eastAsia" w:ascii="宋体" w:hAnsi="宋体" w:eastAsia="宋体" w:cs="宋体"/>
                <w:sz w:val="21"/>
                <w:szCs w:val="21"/>
                <w:lang w:val="en-US" w:eastAsia="zh-CN" w:bidi="ar"/>
              </w:rPr>
              <w:t>违反本条例规定，有下列行为之一的，县级以上地方人民政府河道主管机关除责令其纠正违法行为、采取补救措施外，可以并处警告、罚款、没收非法所得；对有关责任人员，由其所在单位或者上级主管机关给予行政处分；构成犯罪的，依法追究刑事责任；</w:t>
            </w:r>
            <w:r>
              <w:rPr>
                <w:rStyle w:val="18"/>
                <w:rFonts w:hint="eastAsia" w:ascii="宋体" w:hAnsi="宋体" w:eastAsia="宋体" w:cs="宋体"/>
                <w:sz w:val="21"/>
                <w:szCs w:val="21"/>
                <w:lang w:val="en-US" w:eastAsia="zh-CN" w:bidi="ar"/>
              </w:rPr>
              <w:br w:type="textWrapping"/>
            </w:r>
            <w:r>
              <w:rPr>
                <w:rStyle w:val="17"/>
                <w:rFonts w:hint="eastAsia" w:ascii="宋体" w:hAnsi="宋体" w:eastAsia="宋体" w:cs="宋体"/>
                <w:sz w:val="21"/>
                <w:szCs w:val="21"/>
                <w:lang w:val="en-US" w:eastAsia="zh-CN" w:bidi="ar"/>
              </w:rPr>
              <w:t>（四）未经批准或者不按河道主管机关的规定在河道管理范围内采砂、取土、淘金、弃置砂石或者淤泥、爆破、钻探、挖筑鱼塘的</w:t>
            </w:r>
            <w:r>
              <w:rPr>
                <w:rStyle w:val="17"/>
                <w:rFonts w:hint="eastAsia" w:ascii="宋体" w:hAnsi="宋体" w:cs="宋体"/>
                <w:sz w:val="21"/>
                <w:szCs w:val="21"/>
                <w:lang w:val="en-US" w:eastAsia="zh-CN" w:bidi="ar"/>
              </w:rPr>
              <w:t>。</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4439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市水务局</w:t>
            </w:r>
          </w:p>
        </w:tc>
      </w:tr>
      <w:tr w14:paraId="3F032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6"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FE88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15E89">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对农村村民未经批准或者采取欺骗手段骗取批准，非法占用土地建住宅的行为的处罚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B99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7B457">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《中华人民共和国土地管理法》第七十八条</w:t>
            </w:r>
            <w:r>
              <w:rPr>
                <w:rStyle w:val="17"/>
                <w:rFonts w:hint="eastAsia" w:ascii="宋体" w:hAnsi="宋体" w:eastAsia="宋体" w:cs="宋体"/>
                <w:sz w:val="21"/>
                <w:szCs w:val="21"/>
                <w:lang w:val="en-US" w:eastAsia="zh-CN" w:bidi="ar"/>
              </w:rPr>
              <w:t xml:space="preserve"> </w:t>
            </w:r>
            <w:r>
              <w:rPr>
                <w:rStyle w:val="17"/>
                <w:rFonts w:hint="eastAsia" w:ascii="宋体" w:hAnsi="宋体" w:cs="宋体"/>
                <w:sz w:val="21"/>
                <w:szCs w:val="21"/>
                <w:lang w:val="en-US" w:eastAsia="zh-CN" w:bidi="ar"/>
              </w:rPr>
              <w:t xml:space="preserve"> </w:t>
            </w:r>
            <w:r>
              <w:rPr>
                <w:rStyle w:val="17"/>
                <w:rFonts w:hint="eastAsia" w:ascii="宋体" w:hAnsi="宋体" w:eastAsia="宋体" w:cs="宋体"/>
                <w:sz w:val="21"/>
                <w:szCs w:val="21"/>
                <w:lang w:val="en-US" w:eastAsia="zh-CN" w:bidi="ar"/>
              </w:rPr>
              <w:t>农村村民未经批准或者采取欺骗手段骗取批准，非法占用土地建住宅的，由县级以上人民政府农业农村主管部门责令退还非法占用的土地，限期拆除在非法占用的土地上新建的房屋。</w:t>
            </w:r>
            <w:r>
              <w:rPr>
                <w:rStyle w:val="17"/>
                <w:rFonts w:hint="eastAsia" w:ascii="宋体" w:hAnsi="宋体" w:eastAsia="宋体" w:cs="宋体"/>
                <w:sz w:val="21"/>
                <w:szCs w:val="21"/>
                <w:lang w:val="en-US" w:eastAsia="zh-CN" w:bidi="ar"/>
              </w:rPr>
              <w:br w:type="textWrapping"/>
            </w:r>
            <w:r>
              <w:rPr>
                <w:rStyle w:val="17"/>
                <w:rFonts w:hint="eastAsia" w:ascii="宋体" w:hAnsi="宋体" w:eastAsia="宋体" w:cs="宋体"/>
                <w:sz w:val="21"/>
                <w:szCs w:val="21"/>
                <w:lang w:val="en-US" w:eastAsia="zh-CN" w:bidi="ar"/>
              </w:rPr>
              <w:t>超过省、自治区、直辖市规定的标准，多占的土地以非法占用土地论处。</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0C8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市农业农村局</w:t>
            </w:r>
          </w:p>
        </w:tc>
      </w:tr>
      <w:tr w14:paraId="71646C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32"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3F350">
            <w:pPr>
              <w:keepNext w:val="0"/>
              <w:keepLines w:val="0"/>
              <w:pageBreakBefore w:val="0"/>
              <w:widowControl/>
              <w:suppressLineNumbers w:val="0"/>
              <w:kinsoku/>
              <w:wordWrap/>
              <w:overflowPunct/>
              <w:topLinePunct w:val="0"/>
              <w:autoSpaceDE/>
              <w:autoSpaceDN/>
              <w:bidi w:val="0"/>
              <w:adjustRightInd/>
              <w:snapToGrid/>
              <w:spacing w:before="781" w:beforeLines="250"/>
              <w:jc w:val="center"/>
              <w:textAlignment w:val="center"/>
              <w:rPr>
                <w:rFonts w:hint="eastAsia" w:ascii="宋体" w:hAnsi="宋体" w:eastAsia="宋体" w:cs="宋体"/>
                <w:i w:val="0"/>
                <w:iCs w:val="0"/>
                <w:color w:val="000000"/>
                <w:sz w:val="21"/>
                <w:szCs w:val="21"/>
                <w:u w:val="none"/>
              </w:rPr>
            </w:pPr>
            <w:r>
              <w:rPr>
                <w:sz w:val="32"/>
              </w:rPr>
              <mc:AlternateContent>
                <mc:Choice Requires="wps">
                  <w:drawing>
                    <wp:anchor distT="0" distB="0" distL="114300" distR="114300" simplePos="0" relativeHeight="251663360" behindDoc="0" locked="0" layoutInCell="1" allowOverlap="1">
                      <wp:simplePos x="0" y="0"/>
                      <wp:positionH relativeFrom="column">
                        <wp:posOffset>-619125</wp:posOffset>
                      </wp:positionH>
                      <wp:positionV relativeFrom="paragraph">
                        <wp:posOffset>-420370</wp:posOffset>
                      </wp:positionV>
                      <wp:extent cx="514985" cy="5558155"/>
                      <wp:effectExtent l="0" t="0" r="3175" b="4445"/>
                      <wp:wrapNone/>
                      <wp:docPr id="12" name="文本框 12"/>
                      <wp:cNvGraphicFramePr/>
                      <a:graphic xmlns:a="http://schemas.openxmlformats.org/drawingml/2006/main">
                        <a:graphicData uri="http://schemas.microsoft.com/office/word/2010/wordprocessingShape">
                          <wps:wsp>
                            <wps:cNvSpPr txBox="1"/>
                            <wps:spPr>
                              <a:xfrm>
                                <a:off x="0" y="0"/>
                                <a:ext cx="514985" cy="55581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D7BB3DA">
                                  <w:pPr>
                                    <w:keepNext w:val="0"/>
                                    <w:keepLines w:val="0"/>
                                    <w:pageBreakBefore w:val="0"/>
                                    <w:widowControl w:val="0"/>
                                    <w:kinsoku/>
                                    <w:wordWrap/>
                                    <w:overflowPunct/>
                                    <w:topLinePunct w:val="0"/>
                                    <w:autoSpaceDE/>
                                    <w:autoSpaceDN/>
                                    <w:bidi w:val="0"/>
                                    <w:adjustRightInd/>
                                    <w:snapToGrid/>
                                    <w:ind w:left="420" w:leftChars="200" w:right="420" w:rightChars="200"/>
                                    <w:jc w:val="left"/>
                                    <w:textAlignment w:val="auto"/>
                                    <w:rPr>
                                      <w:rFonts w:hint="eastAsia" w:ascii="宋体" w:hAnsi="宋体" w:eastAsia="宋体" w:cs="宋体"/>
                                      <w:sz w:val="28"/>
                                      <w:szCs w:val="28"/>
                                      <w:lang w:val="en-US" w:eastAsia="zh-CN"/>
                                    </w:rPr>
                                  </w:pP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8.75pt;margin-top:-33.1pt;height:437.65pt;width:40.55pt;z-index:251663360;mso-width-relative:page;mso-height-relative:page;" fillcolor="#FFFFFF [3201]" filled="t" stroked="f" coordsize="21600,21600" o:gfxdata="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O8alHHaAAAA&#10;CwEAAA8AAAAAAAAAAQAgAAAAIgAAAGRycy9kb3ducmV2LnhtbFBLAQIUABQAAAAIAIdO4kBXd+U+&#10;VAIAAJMEAAAOAAAAAAAAAAEAIAAAACkBAABkcnMvZTJvRG9jLnhtbFBLBQYAAAAABgAGAFkBAADv&#10;BQAAAAA=&#10;">
                      <v:fill on="t" focussize="0,0"/>
                      <v:stroke on="f" weight="0.5pt"/>
                      <v:imagedata o:title=""/>
                      <o:lock v:ext="edit" aspectratio="f"/>
                      <v:textbox style="layout-flow:vertical-ideographic;">
                        <w:txbxContent>
                          <w:p w14:paraId="1D7BB3DA">
                            <w:pPr>
                              <w:keepNext w:val="0"/>
                              <w:keepLines w:val="0"/>
                              <w:pageBreakBefore w:val="0"/>
                              <w:widowControl w:val="0"/>
                              <w:kinsoku/>
                              <w:wordWrap/>
                              <w:overflowPunct/>
                              <w:topLinePunct w:val="0"/>
                              <w:autoSpaceDE/>
                              <w:autoSpaceDN/>
                              <w:bidi w:val="0"/>
                              <w:adjustRightInd/>
                              <w:snapToGrid/>
                              <w:ind w:left="420" w:leftChars="200" w:right="420" w:rightChars="200"/>
                              <w:jc w:val="left"/>
                              <w:textAlignment w:val="auto"/>
                              <w:rPr>
                                <w:rFonts w:hint="eastAsia" w:ascii="宋体" w:hAnsi="宋体" w:eastAsia="宋体" w:cs="宋体"/>
                                <w:sz w:val="28"/>
                                <w:szCs w:val="28"/>
                                <w:lang w:val="en-US" w:eastAsia="zh-CN"/>
                              </w:rPr>
                            </w:pPr>
                          </w:p>
                        </w:txbxContent>
                      </v:textbox>
                    </v:shape>
                  </w:pict>
                </mc:Fallback>
              </mc:AlternateContent>
            </w:r>
            <w:r>
              <w:rPr>
                <w:rFonts w:hint="eastAsia" w:ascii="宋体" w:hAnsi="宋体" w:eastAsia="宋体" w:cs="宋体"/>
                <w:i w:val="0"/>
                <w:iCs w:val="0"/>
                <w:color w:val="000000"/>
                <w:kern w:val="0"/>
                <w:sz w:val="21"/>
                <w:szCs w:val="21"/>
                <w:u w:val="none"/>
                <w:lang w:val="en-US" w:eastAsia="zh-CN" w:bidi="ar"/>
              </w:rPr>
              <w:t>13</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DA768">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对农药经营者未取得农药经营许可证经营农药的行为的处罚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B8B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AC934">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《农药管理条例》（1997年国务院令第216号 2022年修订）第五十五条第一款第一项</w:t>
            </w:r>
            <w:r>
              <w:rPr>
                <w:rStyle w:val="17"/>
                <w:rFonts w:hint="eastAsia" w:ascii="宋体" w:hAnsi="宋体" w:cs="宋体"/>
                <w:sz w:val="21"/>
                <w:szCs w:val="21"/>
                <w:lang w:val="en-US" w:eastAsia="zh-CN" w:bidi="ar"/>
              </w:rPr>
              <w:t xml:space="preserve">  </w:t>
            </w:r>
            <w:r>
              <w:rPr>
                <w:rStyle w:val="17"/>
                <w:rFonts w:hint="eastAsia" w:ascii="宋体" w:hAnsi="宋体" w:eastAsia="宋体" w:cs="宋体"/>
                <w:sz w:val="21"/>
                <w:szCs w:val="21"/>
                <w:lang w:val="en-US" w:eastAsia="zh-CN" w:bidi="ar"/>
              </w:rPr>
              <w:t>农药经营者有下列行为之一的，由县级以上地方人民政府农业主管部门责令停止经营，没收违法所得、违法经营的农药和用于违法经营的工具、设备等，违法经营的农药货值金额不足1万元的，并处5000元以上5万元以下罚款，货值金额1万元以上的，并处货值金额5倍以上10倍以下罚款；构成犯罪的，依法追究刑事责任：（一）违反本条例规定，未取得农药经营许可证经营农药</w:t>
            </w:r>
            <w:r>
              <w:rPr>
                <w:rStyle w:val="17"/>
                <w:rFonts w:hint="eastAsia" w:ascii="宋体" w:hAnsi="宋体" w:cs="宋体"/>
                <w:sz w:val="21"/>
                <w:szCs w:val="21"/>
                <w:lang w:val="en-US" w:eastAsia="zh-CN" w:bidi="ar"/>
              </w:rPr>
              <w:t>。</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B753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市农业农村局</w:t>
            </w:r>
          </w:p>
        </w:tc>
      </w:tr>
      <w:tr w14:paraId="739F98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39"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DA4C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8F5AF">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对开办动物饲养场和隔离场所、动物屠宰加工场所以及动物和动物产品无害化处理场所，未取得动物防疫条件合格证的，或者未按照规定处理或者随意弃置病死动物、病害动</w:t>
            </w:r>
            <w:r>
              <w:rPr>
                <w:rFonts w:hint="eastAsia" w:ascii="宋体" w:hAnsi="宋体" w:eastAsia="宋体" w:cs="宋体"/>
                <w:i w:val="0"/>
                <w:iCs w:val="0"/>
                <w:color w:val="000000"/>
                <w:spacing w:val="-6"/>
                <w:kern w:val="0"/>
                <w:sz w:val="21"/>
                <w:szCs w:val="21"/>
                <w:u w:val="none"/>
                <w:lang w:val="en-US" w:eastAsia="zh-CN" w:bidi="ar"/>
              </w:rPr>
              <w:t>物产品的行为的处罚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ACBF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83BED">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《中华人民共和国动物防疫法》第九十八条第一款第一项、第七项</w:t>
            </w:r>
            <w:r>
              <w:rPr>
                <w:rStyle w:val="17"/>
                <w:rFonts w:hint="eastAsia" w:ascii="宋体" w:hAnsi="宋体" w:eastAsia="宋体" w:cs="宋体"/>
                <w:sz w:val="21"/>
                <w:szCs w:val="21"/>
                <w:lang w:val="en-US" w:eastAsia="zh-CN" w:bidi="ar"/>
              </w:rPr>
              <w:t>　违反本法规定，有下列行为之一的，由县级以上地方人民政府农业农村主管部门责令改正，处三千元以上三万元以下罚款；情节严重的，责令停业整顿，并处三万元以上十万元以下罚款：（一）开办动物饲养场和隔离场所、动物屠宰加工场所以及动物和动物产品无害化处理场所，未取得动物防疫条件合格证的；（七）未按照规定处理或者随意弃置病死动物、病害动物产品的。</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EBC4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市农业农村局</w:t>
            </w:r>
          </w:p>
        </w:tc>
      </w:tr>
      <w:tr w14:paraId="30F0B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7"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11A3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E2B2A">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对销售种子应当包装而没有包装的行为的处罚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57E7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C6BC7">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《中华人民共和国种子法》第七十九条第一款第一项</w:t>
            </w:r>
            <w:r>
              <w:rPr>
                <w:rStyle w:val="17"/>
                <w:rFonts w:hint="eastAsia" w:ascii="宋体" w:hAnsi="宋体" w:cs="宋体"/>
                <w:sz w:val="21"/>
                <w:szCs w:val="21"/>
                <w:lang w:val="en-US" w:eastAsia="zh-CN" w:bidi="ar"/>
              </w:rPr>
              <w:t xml:space="preserve">  </w:t>
            </w:r>
            <w:r>
              <w:rPr>
                <w:rStyle w:val="17"/>
                <w:rFonts w:hint="eastAsia" w:ascii="宋体" w:hAnsi="宋体" w:eastAsia="宋体" w:cs="宋体"/>
                <w:sz w:val="21"/>
                <w:szCs w:val="21"/>
                <w:lang w:val="en-US" w:eastAsia="zh-CN" w:bidi="ar"/>
              </w:rPr>
              <w:t>违反本法第三十六条、第三十八条、第三十九条、第四十条规定，有下列行为之一的，由县级以上人民政府农业农村、林业草原主管部门责令改正，处二千元以上二万元以下罚款：（一）销售的种子应当包装而没有包装的</w:t>
            </w:r>
            <w:r>
              <w:rPr>
                <w:rStyle w:val="17"/>
                <w:rFonts w:hint="eastAsia" w:ascii="宋体" w:hAnsi="宋体" w:cs="宋体"/>
                <w:sz w:val="21"/>
                <w:szCs w:val="21"/>
                <w:lang w:val="en-US" w:eastAsia="zh-CN" w:bidi="ar"/>
              </w:rPr>
              <w:t>。</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7306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市农业农村局</w:t>
            </w:r>
          </w:p>
          <w:p w14:paraId="309FEA6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市林业局</w:t>
            </w:r>
          </w:p>
        </w:tc>
      </w:tr>
      <w:tr w14:paraId="51FF17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8"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E1B4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CB141">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对未经批准私自采集或者采伐国家重点保护的天然种质资源的行为的处罚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C09D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4CE26">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《中华人民共和国种子法》第八十条</w:t>
            </w:r>
            <w:r>
              <w:rPr>
                <w:rStyle w:val="17"/>
                <w:rFonts w:hint="eastAsia" w:ascii="宋体" w:hAnsi="宋体" w:eastAsia="宋体" w:cs="宋体"/>
                <w:sz w:val="21"/>
                <w:szCs w:val="21"/>
                <w:lang w:val="en-US" w:eastAsia="zh-CN" w:bidi="ar"/>
              </w:rPr>
              <w:t xml:space="preserve">  违反本法第八条规定，侵占、破坏种质资源，私自采集或者采伐国家重点保护的天然种质资源的，由县级以上人民政府农业农村、林业草原主管部门责令停止违法行为，没收种质资源和违法所得，并处五千元以上五万元以下罚款；造成损失的，依法承担赔偿责任。</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E06E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市农业农村局</w:t>
            </w:r>
          </w:p>
          <w:p w14:paraId="0F8154F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市林业局</w:t>
            </w:r>
          </w:p>
        </w:tc>
      </w:tr>
      <w:tr w14:paraId="5CE6F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33"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AB35F">
            <w:pPr>
              <w:keepNext w:val="0"/>
              <w:keepLines w:val="0"/>
              <w:pageBreakBefore w:val="0"/>
              <w:widowControl/>
              <w:suppressLineNumbers w:val="0"/>
              <w:kinsoku/>
              <w:wordWrap/>
              <w:overflowPunct/>
              <w:topLinePunct w:val="0"/>
              <w:autoSpaceDE/>
              <w:autoSpaceDN/>
              <w:bidi w:val="0"/>
              <w:adjustRightInd/>
              <w:snapToGrid/>
              <w:spacing w:before="937" w:beforeLines="300"/>
              <w:jc w:val="center"/>
              <w:textAlignment w:val="center"/>
              <w:rPr>
                <w:rFonts w:hint="eastAsia" w:ascii="宋体" w:hAnsi="宋体" w:eastAsia="宋体" w:cs="宋体"/>
                <w:i w:val="0"/>
                <w:iCs w:val="0"/>
                <w:color w:val="000000"/>
                <w:sz w:val="21"/>
                <w:szCs w:val="21"/>
                <w:u w:val="none"/>
              </w:rPr>
            </w:pPr>
            <w:r>
              <w:rPr>
                <w:sz w:val="32"/>
              </w:rPr>
              <mc:AlternateContent>
                <mc:Choice Requires="wps">
                  <w:drawing>
                    <wp:anchor distT="0" distB="0" distL="114300" distR="114300" simplePos="0" relativeHeight="251664384" behindDoc="0" locked="0" layoutInCell="1" allowOverlap="1">
                      <wp:simplePos x="0" y="0"/>
                      <wp:positionH relativeFrom="column">
                        <wp:posOffset>-619125</wp:posOffset>
                      </wp:positionH>
                      <wp:positionV relativeFrom="paragraph">
                        <wp:posOffset>-420370</wp:posOffset>
                      </wp:positionV>
                      <wp:extent cx="514985" cy="5558155"/>
                      <wp:effectExtent l="0" t="0" r="3175" b="4445"/>
                      <wp:wrapNone/>
                      <wp:docPr id="13" name="文本框 13"/>
                      <wp:cNvGraphicFramePr/>
                      <a:graphic xmlns:a="http://schemas.openxmlformats.org/drawingml/2006/main">
                        <a:graphicData uri="http://schemas.microsoft.com/office/word/2010/wordprocessingShape">
                          <wps:wsp>
                            <wps:cNvSpPr txBox="1"/>
                            <wps:spPr>
                              <a:xfrm>
                                <a:off x="0" y="0"/>
                                <a:ext cx="514985" cy="55581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88FCCED">
                                  <w:pPr>
                                    <w:keepNext w:val="0"/>
                                    <w:keepLines w:val="0"/>
                                    <w:pageBreakBefore w:val="0"/>
                                    <w:widowControl w:val="0"/>
                                    <w:kinsoku/>
                                    <w:wordWrap/>
                                    <w:overflowPunct/>
                                    <w:topLinePunct w:val="0"/>
                                    <w:autoSpaceDE/>
                                    <w:autoSpaceDN/>
                                    <w:bidi w:val="0"/>
                                    <w:adjustRightInd/>
                                    <w:snapToGrid/>
                                    <w:ind w:left="420" w:leftChars="200" w:right="420" w:rightChars="200"/>
                                    <w:jc w:val="right"/>
                                    <w:textAlignment w:val="auto"/>
                                    <w:rPr>
                                      <w:rFonts w:hint="eastAsia" w:ascii="宋体" w:hAnsi="宋体" w:eastAsia="宋体" w:cs="宋体"/>
                                      <w:sz w:val="28"/>
                                      <w:szCs w:val="28"/>
                                      <w:lang w:val="en-US" w:eastAsia="zh-CN"/>
                                    </w:rPr>
                                  </w:pP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8.75pt;margin-top:-33.1pt;height:437.65pt;width:40.55pt;z-index:251664384;mso-width-relative:page;mso-height-relative:page;" fillcolor="#FFFFFF [3201]" filled="t" stroked="f" coordsize="21600,21600" o:gfxdata="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O8alHHaAAAA&#10;CwEAAA8AAAAAAAAAAQAgAAAAIgAAAGRycy9kb3ducmV2LnhtbFBLAQIUABQAAAAIAIdO4kAxxfth&#10;VAIAAJMEAAAOAAAAAAAAAAEAIAAAACkBAABkcnMvZTJvRG9jLnhtbFBLBQYAAAAABgAGAFkBAADv&#10;BQAAAAA=&#10;">
                      <v:fill on="t" focussize="0,0"/>
                      <v:stroke on="f" weight="0.5pt"/>
                      <v:imagedata o:title=""/>
                      <o:lock v:ext="edit" aspectratio="f"/>
                      <v:textbox style="layout-flow:vertical-ideographic;">
                        <w:txbxContent>
                          <w:p w14:paraId="488FCCED">
                            <w:pPr>
                              <w:keepNext w:val="0"/>
                              <w:keepLines w:val="0"/>
                              <w:pageBreakBefore w:val="0"/>
                              <w:widowControl w:val="0"/>
                              <w:kinsoku/>
                              <w:wordWrap/>
                              <w:overflowPunct/>
                              <w:topLinePunct w:val="0"/>
                              <w:autoSpaceDE/>
                              <w:autoSpaceDN/>
                              <w:bidi w:val="0"/>
                              <w:adjustRightInd/>
                              <w:snapToGrid/>
                              <w:ind w:left="420" w:leftChars="200" w:right="420" w:rightChars="200"/>
                              <w:jc w:val="right"/>
                              <w:textAlignment w:val="auto"/>
                              <w:rPr>
                                <w:rFonts w:hint="eastAsia" w:ascii="宋体" w:hAnsi="宋体" w:eastAsia="宋体" w:cs="宋体"/>
                                <w:sz w:val="28"/>
                                <w:szCs w:val="28"/>
                                <w:lang w:val="en-US" w:eastAsia="zh-CN"/>
                              </w:rPr>
                            </w:pPr>
                          </w:p>
                        </w:txbxContent>
                      </v:textbox>
                    </v:shape>
                  </w:pict>
                </mc:Fallback>
              </mc:AlternateContent>
            </w:r>
            <w:r>
              <w:rPr>
                <w:rFonts w:hint="eastAsia" w:ascii="宋体" w:hAnsi="宋体" w:eastAsia="宋体" w:cs="宋体"/>
                <w:i w:val="0"/>
                <w:iCs w:val="0"/>
                <w:color w:val="000000"/>
                <w:kern w:val="0"/>
                <w:sz w:val="21"/>
                <w:szCs w:val="21"/>
                <w:u w:val="none"/>
                <w:lang w:val="en-US" w:eastAsia="zh-CN" w:bidi="ar"/>
              </w:rPr>
              <w:t>17</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80342">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对从业人员安全培训的时间少于《生产经营单位安全培训规定》或者有关标准规定的，相关人员未按规定重新参加安</w:t>
            </w:r>
            <w:r>
              <w:rPr>
                <w:rFonts w:hint="eastAsia" w:ascii="宋体" w:hAnsi="宋体" w:eastAsia="宋体" w:cs="宋体"/>
                <w:i w:val="0"/>
                <w:iCs w:val="0"/>
                <w:color w:val="000000"/>
                <w:spacing w:val="-6"/>
                <w:kern w:val="0"/>
                <w:sz w:val="21"/>
                <w:szCs w:val="21"/>
                <w:u w:val="none"/>
                <w:lang w:val="en-US" w:eastAsia="zh-CN" w:bidi="ar"/>
              </w:rPr>
              <w:t>全培训的行为的处罚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674F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86A8E">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 xml:space="preserve">《安全生产培训管理办法》（2012年国家安全监管总局令第44号，2015年修正）第三十六条第一款第一项、第三项 </w:t>
            </w:r>
            <w:r>
              <w:rPr>
                <w:rStyle w:val="17"/>
                <w:rFonts w:hint="eastAsia" w:ascii="宋体" w:hAnsi="宋体" w:eastAsia="宋体" w:cs="宋体"/>
                <w:sz w:val="21"/>
                <w:szCs w:val="21"/>
                <w:lang w:val="en-US" w:eastAsia="zh-CN" w:bidi="ar"/>
              </w:rPr>
              <w:t xml:space="preserve"> 生产经营单位有下列情形之一的，责令改正，处3万元以下的罚款：（一）从业人员安全培训的时间少于《生产经营单位安全培训规定》或者有关标准规定的；（三）相关人员未按照本办法第十二条规定重新参加安全培训的。</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8FE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市应急管理局</w:t>
            </w:r>
          </w:p>
        </w:tc>
      </w:tr>
      <w:tr w14:paraId="37E81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3"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147C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492A3">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对知道或者应当知道生产经营单位未取得安全生产许可证或者其他批准文件擅自从事生产经营活动，仍为其提供生产经营场所、运输、保管、仓储等条件的行为的处罚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96FE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DA70D">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《安全生产违法行为行政处罚办法》（2007年国家安全监管总局令第15号，2015年修正）第五十条</w:t>
            </w:r>
            <w:r>
              <w:rPr>
                <w:rStyle w:val="17"/>
                <w:rFonts w:hint="eastAsia" w:ascii="宋体" w:hAnsi="宋体" w:eastAsia="宋体" w:cs="宋体"/>
                <w:sz w:val="21"/>
                <w:szCs w:val="21"/>
                <w:lang w:val="en-US" w:eastAsia="zh-CN" w:bidi="ar"/>
              </w:rPr>
              <w:t xml:space="preserve">  知道或者应当知道生产经营单位未取得安全生产许可证或者其他批准文件擅自从事生产经营活动，仍为其提供生产经营场所、运输、保管、仓储等条件的，责令立即停止违法行为，有违法所得的，没收违法所得，并处违法所得1倍以上3倍以下的罚款，但是最高不得超过3万元；没有违法所得的，并处5000元以上1万元以下的罚款。</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058A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市应急管理局</w:t>
            </w:r>
          </w:p>
        </w:tc>
      </w:tr>
      <w:tr w14:paraId="1775F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9"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3BFC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FED30">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对生产、经营、储存、使用危险物品的车间、商店、仓库与员工宿舍在同一座建筑内，或者与员工宿舍的距离不符合安全</w:t>
            </w:r>
            <w:r>
              <w:rPr>
                <w:rFonts w:hint="eastAsia" w:ascii="宋体" w:hAnsi="宋体" w:eastAsia="宋体" w:cs="宋体"/>
                <w:i w:val="0"/>
                <w:iCs w:val="0"/>
                <w:color w:val="000000"/>
                <w:spacing w:val="-6"/>
                <w:kern w:val="0"/>
                <w:sz w:val="21"/>
                <w:szCs w:val="21"/>
                <w:u w:val="none"/>
                <w:lang w:val="en-US" w:eastAsia="zh-CN" w:bidi="ar"/>
              </w:rPr>
              <w:t>要求的行为的处罚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CB9D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DAD58">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《中华人民共和国安全生产法》第一百零五条第一款第一项</w:t>
            </w:r>
            <w:r>
              <w:rPr>
                <w:rStyle w:val="17"/>
                <w:rFonts w:hint="eastAsia" w:ascii="宋体" w:hAnsi="宋体" w:eastAsia="宋体" w:cs="宋体"/>
                <w:sz w:val="21"/>
                <w:szCs w:val="21"/>
                <w:lang w:val="en-US" w:eastAsia="zh-CN" w:bidi="ar"/>
              </w:rPr>
              <w:t xml:space="preserve">  生产经营单位有下列行为之一的，责令限期改正，处五万元以下的罚款，对其直接负责的主管人员和其他直接责任人员处一万元以下的罚款；逾期未改正的，责令停产停业整顿；构成犯罪的，依照刑法有关规定追究刑事责任:</w:t>
            </w:r>
            <w:r>
              <w:rPr>
                <w:rStyle w:val="17"/>
                <w:rFonts w:hint="eastAsia" w:ascii="宋体" w:hAnsi="宋体" w:eastAsia="宋体" w:cs="宋体"/>
                <w:sz w:val="21"/>
                <w:szCs w:val="21"/>
                <w:lang w:val="en-US" w:eastAsia="zh-CN" w:bidi="ar"/>
              </w:rPr>
              <w:br w:type="textWrapping"/>
            </w:r>
            <w:r>
              <w:rPr>
                <w:rStyle w:val="17"/>
                <w:rFonts w:hint="eastAsia" w:ascii="宋体" w:hAnsi="宋体" w:eastAsia="宋体" w:cs="宋体"/>
                <w:sz w:val="21"/>
                <w:szCs w:val="21"/>
                <w:lang w:val="en-US" w:eastAsia="zh-CN" w:bidi="ar"/>
              </w:rPr>
              <w:t>（一）生产、经营、储存、使用危险物品的车间、商店、仓库与员工宿舍在同一座建筑内，或者与员工宿舍的距离不符合安全要求的</w:t>
            </w:r>
            <w:r>
              <w:rPr>
                <w:rStyle w:val="17"/>
                <w:rFonts w:hint="eastAsia" w:ascii="宋体" w:hAnsi="宋体" w:cs="宋体"/>
                <w:sz w:val="21"/>
                <w:szCs w:val="21"/>
                <w:lang w:val="en-US" w:eastAsia="zh-CN" w:bidi="ar"/>
              </w:rPr>
              <w:t>。</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87BD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市应急管理局</w:t>
            </w:r>
          </w:p>
        </w:tc>
      </w:tr>
      <w:tr w14:paraId="195292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4"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F09CA">
            <w:pPr>
              <w:keepNext w:val="0"/>
              <w:keepLines w:val="0"/>
              <w:pageBreakBefore w:val="0"/>
              <w:widowControl/>
              <w:suppressLineNumbers w:val="0"/>
              <w:kinsoku/>
              <w:wordWrap/>
              <w:overflowPunct/>
              <w:topLinePunct w:val="0"/>
              <w:autoSpaceDE/>
              <w:autoSpaceDN/>
              <w:bidi w:val="0"/>
              <w:adjustRightInd/>
              <w:snapToGrid/>
              <w:spacing w:before="1093" w:beforeLines="35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r>
              <w:rPr>
                <w:sz w:val="32"/>
              </w:rPr>
              <mc:AlternateContent>
                <mc:Choice Requires="wps">
                  <w:drawing>
                    <wp:anchor distT="0" distB="0" distL="114300" distR="114300" simplePos="0" relativeHeight="251665408" behindDoc="0" locked="0" layoutInCell="1" allowOverlap="1">
                      <wp:simplePos x="0" y="0"/>
                      <wp:positionH relativeFrom="column">
                        <wp:posOffset>-619125</wp:posOffset>
                      </wp:positionH>
                      <wp:positionV relativeFrom="paragraph">
                        <wp:posOffset>-420370</wp:posOffset>
                      </wp:positionV>
                      <wp:extent cx="514985" cy="5558155"/>
                      <wp:effectExtent l="0" t="0" r="3175" b="4445"/>
                      <wp:wrapNone/>
                      <wp:docPr id="14" name="文本框 14"/>
                      <wp:cNvGraphicFramePr/>
                      <a:graphic xmlns:a="http://schemas.openxmlformats.org/drawingml/2006/main">
                        <a:graphicData uri="http://schemas.microsoft.com/office/word/2010/wordprocessingShape">
                          <wps:wsp>
                            <wps:cNvSpPr txBox="1"/>
                            <wps:spPr>
                              <a:xfrm>
                                <a:off x="0" y="0"/>
                                <a:ext cx="514985" cy="55581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60820B72">
                                  <w:pPr>
                                    <w:keepNext w:val="0"/>
                                    <w:keepLines w:val="0"/>
                                    <w:pageBreakBefore w:val="0"/>
                                    <w:widowControl w:val="0"/>
                                    <w:kinsoku/>
                                    <w:wordWrap/>
                                    <w:overflowPunct/>
                                    <w:topLinePunct w:val="0"/>
                                    <w:autoSpaceDE/>
                                    <w:autoSpaceDN/>
                                    <w:bidi w:val="0"/>
                                    <w:adjustRightInd/>
                                    <w:snapToGrid/>
                                    <w:ind w:left="420" w:leftChars="200" w:right="420" w:rightChars="200"/>
                                    <w:jc w:val="left"/>
                                    <w:textAlignment w:val="auto"/>
                                    <w:rPr>
                                      <w:rFonts w:hint="eastAsia" w:ascii="宋体" w:hAnsi="宋体" w:eastAsia="宋体" w:cs="宋体"/>
                                      <w:sz w:val="28"/>
                                      <w:szCs w:val="28"/>
                                      <w:lang w:val="en-US" w:eastAsia="zh-CN"/>
                                    </w:rPr>
                                  </w:pP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8.75pt;margin-top:-33.1pt;height:437.65pt;width:40.55pt;z-index:251665408;mso-width-relative:page;mso-height-relative:page;" fillcolor="#FFFFFF [3201]" filled="t" stroked="f" coordsize="21600,21600" o:gfxdata="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O8alHHaAAAA&#10;CwEAAA8AAAAAAAAAAQAgAAAAIgAAAGRycy9kb3ducmV2LnhtbFBLAQIUABQAAAAIAIdO4kBC3NMn&#10;VAIAAJMEAAAOAAAAAAAAAAEAIAAAACkBAABkcnMvZTJvRG9jLnhtbFBLBQYAAAAABgAGAFkBAADv&#10;BQAAAAA=&#10;">
                      <v:fill on="t" focussize="0,0"/>
                      <v:stroke on="f" weight="0.5pt"/>
                      <v:imagedata o:title=""/>
                      <o:lock v:ext="edit" aspectratio="f"/>
                      <v:textbox style="layout-flow:vertical-ideographic;">
                        <w:txbxContent>
                          <w:p w14:paraId="60820B72">
                            <w:pPr>
                              <w:keepNext w:val="0"/>
                              <w:keepLines w:val="0"/>
                              <w:pageBreakBefore w:val="0"/>
                              <w:widowControl w:val="0"/>
                              <w:kinsoku/>
                              <w:wordWrap/>
                              <w:overflowPunct/>
                              <w:topLinePunct w:val="0"/>
                              <w:autoSpaceDE/>
                              <w:autoSpaceDN/>
                              <w:bidi w:val="0"/>
                              <w:adjustRightInd/>
                              <w:snapToGrid/>
                              <w:ind w:left="420" w:leftChars="200" w:right="420" w:rightChars="200"/>
                              <w:jc w:val="left"/>
                              <w:textAlignment w:val="auto"/>
                              <w:rPr>
                                <w:rFonts w:hint="eastAsia" w:ascii="宋体" w:hAnsi="宋体" w:eastAsia="宋体" w:cs="宋体"/>
                                <w:sz w:val="28"/>
                                <w:szCs w:val="28"/>
                                <w:lang w:val="en-US" w:eastAsia="zh-CN"/>
                              </w:rPr>
                            </w:pPr>
                          </w:p>
                        </w:txbxContent>
                      </v:textbox>
                    </v:shape>
                  </w:pict>
                </mc:Fallback>
              </mc:AlternateConten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3220C">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对生产经营场所和员工宿舍未设有符合紧急疏散需要、标志明显、保持畅通的出口、疏散通道，或者占用、锁闭、封堵生产经营场所或者员工宿舍出口、疏散通道的行为的处罚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72A7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2EF96">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 xml:space="preserve">《中华人民共和国安全生产法》第一百零五条第一款第二项 </w:t>
            </w:r>
            <w:r>
              <w:rPr>
                <w:rStyle w:val="17"/>
                <w:rFonts w:hint="eastAsia" w:ascii="宋体" w:hAnsi="宋体" w:eastAsia="宋体" w:cs="宋体"/>
                <w:sz w:val="21"/>
                <w:szCs w:val="21"/>
                <w:lang w:val="en-US" w:eastAsia="zh-CN" w:bidi="ar"/>
              </w:rPr>
              <w:t xml:space="preserve"> 生产经营单位有下列行为之一的，责令限期改正，处五万元以下的罚款，对其直接负责的主管人员和其他直接责任人员处一万元以下的罚款；逾期未改正的，责令停产停业整顿；构成犯罪的，依照刑法有关规定追究刑事责任:</w:t>
            </w:r>
            <w:r>
              <w:rPr>
                <w:rStyle w:val="17"/>
                <w:rFonts w:hint="eastAsia" w:ascii="宋体" w:hAnsi="宋体" w:eastAsia="宋体" w:cs="宋体"/>
                <w:sz w:val="21"/>
                <w:szCs w:val="21"/>
                <w:lang w:val="en-US" w:eastAsia="zh-CN" w:bidi="ar"/>
              </w:rPr>
              <w:br w:type="textWrapping"/>
            </w:r>
            <w:r>
              <w:rPr>
                <w:rStyle w:val="17"/>
                <w:rFonts w:hint="eastAsia" w:ascii="宋体" w:hAnsi="宋体" w:eastAsia="宋体" w:cs="宋体"/>
                <w:sz w:val="21"/>
                <w:szCs w:val="21"/>
                <w:lang w:val="en-US" w:eastAsia="zh-CN" w:bidi="ar"/>
              </w:rPr>
              <w:t>（二）生产经营场所和员工宿舍未设有符合紧急疏散需要、标志明显、保持畅通的出口、疏散通道，或者占用、锁闭、封堵生产经营场所或者员工宿舍出口、疏散通道的。</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9E4D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市应急管理局</w:t>
            </w:r>
          </w:p>
        </w:tc>
      </w:tr>
      <w:tr w14:paraId="6F0941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1"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260C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64406">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对工贸企业未在有限空间作业场所设置明显的安全警示标志的、未按规定为作业人员提供符合国家标准或者行业标准的劳动防护用品的行为的处罚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395E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4026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《中华人民共和国安全生产法》第九十九条</w:t>
            </w:r>
            <w:r>
              <w:rPr>
                <w:rStyle w:val="17"/>
                <w:rFonts w:hint="eastAsia" w:ascii="宋体" w:hAnsi="宋体" w:eastAsia="宋体" w:cs="宋体"/>
                <w:sz w:val="21"/>
                <w:szCs w:val="21"/>
                <w:lang w:val="en-US" w:eastAsia="zh-CN" w:bidi="ar"/>
              </w:rPr>
              <w:t xml:space="preserve">  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一）未在有较大危险因素的生产经营场所和有关设施、设备上设置明显的安全警示标志的；（二）安全设备的安装、使用、检测、改造和报废不符合国家标准或者行业标准的；（三）未对安全设备进行经常性维护、保养和定期检测的；（四）关闭、破坏直接关系生产安全的监控、报警、防护、救生设备、设施，或者篡改、隐瞒、销毁其相关数据、信息的；（五）未为从业人员提供符合国家标准或者行业标准的劳动防护用品的；（六）危险物品的容器、运输工具，以及涉及人身安全、危险性较大的海洋石油开采特种设备和矿山井下特种设备未经具有专业资质的机构检测、检验合格，取得安全使用证或者安全标志，投入使用的；（七）使用应当淘汰的危及生产安全的工艺、设备的；（八）餐饮等行业的生产经营单位使用燃气未安装可燃气体报警装置的。</w:t>
            </w:r>
            <w:r>
              <w:rPr>
                <w:rStyle w:val="17"/>
                <w:rFonts w:hint="eastAsia" w:ascii="宋体" w:hAnsi="宋体" w:eastAsia="宋体" w:cs="宋体"/>
                <w:sz w:val="21"/>
                <w:szCs w:val="21"/>
                <w:lang w:val="en-US" w:eastAsia="zh-CN" w:bidi="ar"/>
              </w:rPr>
              <w:br w:type="textWrapping"/>
            </w:r>
            <w:r>
              <w:rPr>
                <w:rStyle w:val="18"/>
                <w:rFonts w:hint="eastAsia" w:ascii="宋体" w:hAnsi="宋体" w:eastAsia="宋体" w:cs="宋体"/>
                <w:sz w:val="21"/>
                <w:szCs w:val="21"/>
                <w:lang w:val="en-US" w:eastAsia="zh-CN" w:bidi="ar"/>
              </w:rPr>
              <w:t>《工贸企业有限空间作业安全管理与监督暂行规定》（中华人民共和国应急管理部令第13号，2023年修正）第十九条</w:t>
            </w:r>
            <w:r>
              <w:rPr>
                <w:rStyle w:val="17"/>
                <w:rFonts w:hint="eastAsia" w:ascii="宋体" w:hAnsi="宋体" w:eastAsia="宋体" w:cs="宋体"/>
                <w:sz w:val="21"/>
                <w:szCs w:val="21"/>
                <w:lang w:val="en-US" w:eastAsia="zh-CN" w:bidi="ar"/>
              </w:rPr>
              <w:t xml:space="preserve">  工贸企业有下列行为之一的，由县级以上安全生产监督管理部门责令限期改正，可以处5万元以下的罚款；逾期未改正的，处5万元以上20万元以下的罚款，其直接负责的主管人员和其他直接责任人员处1万元以上2万元以下的罚款；情节严重的，责令停产停业整顿：</w:t>
            </w:r>
            <w:r>
              <w:rPr>
                <w:rStyle w:val="17"/>
                <w:rFonts w:hint="eastAsia" w:ascii="宋体" w:hAnsi="宋体" w:cs="宋体"/>
                <w:sz w:val="21"/>
                <w:szCs w:val="21"/>
                <w:lang w:val="en-US" w:eastAsia="zh-CN" w:bidi="ar"/>
              </w:rPr>
              <w:t>（一）</w:t>
            </w:r>
            <w:r>
              <w:rPr>
                <w:rStyle w:val="17"/>
                <w:rFonts w:hint="eastAsia" w:ascii="宋体" w:hAnsi="宋体" w:eastAsia="宋体" w:cs="宋体"/>
                <w:sz w:val="21"/>
                <w:szCs w:val="21"/>
                <w:lang w:val="en-US" w:eastAsia="zh-CN" w:bidi="ar"/>
              </w:rPr>
              <w:t>未在有限空间作业场所设置明显的安全警示标志的；</w:t>
            </w:r>
            <w:r>
              <w:rPr>
                <w:rStyle w:val="17"/>
                <w:rFonts w:hint="eastAsia" w:ascii="宋体" w:hAnsi="宋体" w:cs="宋体"/>
                <w:sz w:val="21"/>
                <w:szCs w:val="21"/>
                <w:lang w:val="en-US" w:eastAsia="zh-CN" w:bidi="ar"/>
              </w:rPr>
              <w:t>（二）</w:t>
            </w:r>
            <w:r>
              <w:rPr>
                <w:rStyle w:val="17"/>
                <w:rFonts w:hint="eastAsia" w:ascii="宋体" w:hAnsi="宋体" w:eastAsia="宋体" w:cs="宋体"/>
                <w:sz w:val="21"/>
                <w:szCs w:val="21"/>
                <w:lang w:val="en-US" w:eastAsia="zh-CN" w:bidi="ar"/>
              </w:rPr>
              <w:t>未按照本规定为作业人员提供符合国家标准或者行业标准的劳动防护用品的。</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510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市应急管理局</w:t>
            </w:r>
          </w:p>
        </w:tc>
      </w:tr>
      <w:tr w14:paraId="6AEA53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6"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AA137">
            <w:pPr>
              <w:keepNext w:val="0"/>
              <w:keepLines w:val="0"/>
              <w:pageBreakBefore w:val="0"/>
              <w:widowControl/>
              <w:suppressLineNumbers w:val="0"/>
              <w:kinsoku/>
              <w:wordWrap/>
              <w:overflowPunct/>
              <w:topLinePunct w:val="0"/>
              <w:autoSpaceDE/>
              <w:autoSpaceDN/>
              <w:bidi w:val="0"/>
              <w:adjustRightInd/>
              <w:snapToGrid/>
              <w:spacing w:before="719" w:beforeLines="230"/>
              <w:jc w:val="center"/>
              <w:textAlignment w:val="center"/>
              <w:rPr>
                <w:rFonts w:hint="eastAsia" w:ascii="宋体" w:hAnsi="宋体" w:eastAsia="宋体" w:cs="宋体"/>
                <w:i w:val="0"/>
                <w:iCs w:val="0"/>
                <w:color w:val="000000"/>
                <w:sz w:val="21"/>
                <w:szCs w:val="21"/>
                <w:u w:val="none"/>
              </w:rPr>
            </w:pPr>
            <w:r>
              <w:rPr>
                <w:sz w:val="32"/>
              </w:rPr>
              <mc:AlternateContent>
                <mc:Choice Requires="wps">
                  <w:drawing>
                    <wp:anchor distT="0" distB="0" distL="114300" distR="114300" simplePos="0" relativeHeight="251666432" behindDoc="0" locked="0" layoutInCell="1" allowOverlap="1">
                      <wp:simplePos x="0" y="0"/>
                      <wp:positionH relativeFrom="column">
                        <wp:posOffset>-619125</wp:posOffset>
                      </wp:positionH>
                      <wp:positionV relativeFrom="paragraph">
                        <wp:posOffset>-420370</wp:posOffset>
                      </wp:positionV>
                      <wp:extent cx="514985" cy="5558155"/>
                      <wp:effectExtent l="0" t="0" r="3175" b="4445"/>
                      <wp:wrapNone/>
                      <wp:docPr id="15" name="文本框 15"/>
                      <wp:cNvGraphicFramePr/>
                      <a:graphic xmlns:a="http://schemas.openxmlformats.org/drawingml/2006/main">
                        <a:graphicData uri="http://schemas.microsoft.com/office/word/2010/wordprocessingShape">
                          <wps:wsp>
                            <wps:cNvSpPr txBox="1"/>
                            <wps:spPr>
                              <a:xfrm>
                                <a:off x="0" y="0"/>
                                <a:ext cx="514985" cy="55581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0751E99">
                                  <w:pPr>
                                    <w:keepNext w:val="0"/>
                                    <w:keepLines w:val="0"/>
                                    <w:pageBreakBefore w:val="0"/>
                                    <w:widowControl w:val="0"/>
                                    <w:kinsoku/>
                                    <w:wordWrap/>
                                    <w:overflowPunct/>
                                    <w:topLinePunct w:val="0"/>
                                    <w:autoSpaceDE/>
                                    <w:autoSpaceDN/>
                                    <w:bidi w:val="0"/>
                                    <w:adjustRightInd/>
                                    <w:snapToGrid/>
                                    <w:ind w:left="420" w:leftChars="200" w:right="420" w:rightChars="200"/>
                                    <w:jc w:val="right"/>
                                    <w:textAlignment w:val="auto"/>
                                    <w:rPr>
                                      <w:rFonts w:hint="eastAsia" w:ascii="宋体" w:hAnsi="宋体" w:eastAsia="宋体" w:cs="宋体"/>
                                      <w:sz w:val="28"/>
                                      <w:szCs w:val="28"/>
                                      <w:lang w:val="en-US" w:eastAsia="zh-CN"/>
                                    </w:rPr>
                                  </w:pP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8.75pt;margin-top:-33.1pt;height:437.65pt;width:40.55pt;z-index:251666432;mso-width-relative:page;mso-height-relative:page;" fillcolor="#FFFFFF [3201]" filled="t" stroked="f" coordsize="21600,21600" o:gfxdata="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vGpRx2gAA&#10;AAsBAAAPAAAAAAAAAAEAIAAAACIAAABkcnMvZG93bnJldi54bWxQSwECFAAUAAAACACHTuJAJG7N&#10;eFUCAACTBAAADgAAAAAAAAABACAAAAApAQAAZHJzL2Uyb0RvYy54bWxQSwUGAAAAAAYABgBZAQAA&#10;8AUAAAAA&#10;">
                      <v:fill on="t" focussize="0,0"/>
                      <v:stroke on="f" weight="0.5pt"/>
                      <v:imagedata o:title=""/>
                      <o:lock v:ext="edit" aspectratio="f"/>
                      <v:textbox style="layout-flow:vertical-ideographic;">
                        <w:txbxContent>
                          <w:p w14:paraId="70751E99">
                            <w:pPr>
                              <w:keepNext w:val="0"/>
                              <w:keepLines w:val="0"/>
                              <w:pageBreakBefore w:val="0"/>
                              <w:widowControl w:val="0"/>
                              <w:kinsoku/>
                              <w:wordWrap/>
                              <w:overflowPunct/>
                              <w:topLinePunct w:val="0"/>
                              <w:autoSpaceDE/>
                              <w:autoSpaceDN/>
                              <w:bidi w:val="0"/>
                              <w:adjustRightInd/>
                              <w:snapToGrid/>
                              <w:ind w:left="420" w:leftChars="200" w:right="420" w:rightChars="200"/>
                              <w:jc w:val="right"/>
                              <w:textAlignment w:val="auto"/>
                              <w:rPr>
                                <w:rFonts w:hint="eastAsia" w:ascii="宋体" w:hAnsi="宋体" w:eastAsia="宋体" w:cs="宋体"/>
                                <w:sz w:val="28"/>
                                <w:szCs w:val="28"/>
                                <w:lang w:val="en-US" w:eastAsia="zh-CN"/>
                              </w:rPr>
                            </w:pPr>
                          </w:p>
                        </w:txbxContent>
                      </v:textbox>
                    </v:shape>
                  </w:pict>
                </mc:Fallback>
              </mc:AlternateContent>
            </w:r>
            <w:r>
              <w:rPr>
                <w:rFonts w:hint="eastAsia" w:ascii="宋体" w:hAnsi="宋体" w:eastAsia="宋体" w:cs="宋体"/>
                <w:i w:val="0"/>
                <w:iCs w:val="0"/>
                <w:color w:val="000000"/>
                <w:kern w:val="0"/>
                <w:sz w:val="21"/>
                <w:szCs w:val="21"/>
                <w:u w:val="none"/>
                <w:lang w:val="en-US" w:eastAsia="zh-CN" w:bidi="ar"/>
              </w:rPr>
              <w:t>22</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0726C">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对盗伐、滥伐林木的行为的处罚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107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5366A">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《中华人民共和国森林法》第七十六条</w:t>
            </w:r>
            <w:r>
              <w:rPr>
                <w:rStyle w:val="17"/>
                <w:rFonts w:hint="eastAsia" w:ascii="宋体" w:hAnsi="宋体" w:eastAsia="宋体" w:cs="宋体"/>
                <w:sz w:val="21"/>
                <w:szCs w:val="21"/>
                <w:lang w:val="en-US" w:eastAsia="zh-CN" w:bidi="ar"/>
              </w:rPr>
              <w:t xml:space="preserve">  盗伐林木的，由县级以上人民政府林业主管部门责令限期在原地或者异地补种盗伐株数一倍以上五倍以下的树木，并处盗伐林木价值五倍以上十倍以下的罚款。</w:t>
            </w:r>
            <w:r>
              <w:rPr>
                <w:rStyle w:val="17"/>
                <w:rFonts w:hint="eastAsia" w:ascii="宋体" w:hAnsi="宋体" w:eastAsia="宋体" w:cs="宋体"/>
                <w:sz w:val="21"/>
                <w:szCs w:val="21"/>
                <w:lang w:val="en-US" w:eastAsia="zh-CN" w:bidi="ar"/>
              </w:rPr>
              <w:br w:type="textWrapping"/>
            </w:r>
            <w:r>
              <w:rPr>
                <w:rStyle w:val="17"/>
                <w:rFonts w:hint="eastAsia" w:ascii="宋体" w:hAnsi="宋体" w:eastAsia="宋体" w:cs="宋体"/>
                <w:sz w:val="21"/>
                <w:szCs w:val="21"/>
                <w:lang w:val="en-US" w:eastAsia="zh-CN" w:bidi="ar"/>
              </w:rPr>
              <w:t>滥伐林木的，由县级以上人民政府林业主管部门责令限期在原地或者异地补种滥伐株数一倍以上三倍以下的树木，可以处滥伐林木价值三倍以上五倍以下的罚款。</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74BB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市林业局</w:t>
            </w:r>
          </w:p>
        </w:tc>
      </w:tr>
      <w:tr w14:paraId="74D95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7"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85AA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09D0A">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对违反规定收购、加工、运输明知是盗伐、滥伐等非法来源木材的行为的处罚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5609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36192">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《中华人民共和国森林法》第七十八条</w:t>
            </w:r>
            <w:r>
              <w:rPr>
                <w:rStyle w:val="17"/>
                <w:rFonts w:hint="eastAsia" w:ascii="宋体" w:hAnsi="宋体" w:eastAsia="宋体" w:cs="宋体"/>
                <w:sz w:val="21"/>
                <w:szCs w:val="21"/>
                <w:lang w:val="en-US" w:eastAsia="zh-CN" w:bidi="ar"/>
              </w:rPr>
              <w:t xml:space="preserve">  违反本法规定，收购、加工、运输明知是盗伐、滥伐等非法来源的林木的，由县级以上人民政府林业主管部门责令停止违法行为，没收违法收购、加工、运输的林木或者变卖所得，可以处违法收购、加工、运输林木价款三倍以下的罚款。</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1A88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市林业局</w:t>
            </w:r>
          </w:p>
        </w:tc>
      </w:tr>
      <w:tr w14:paraId="680018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3"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963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0D48D">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对违反规定采集、出售、收购国家重点保护野生植物的行为的处罚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192D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73E3D">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《中华人民共和国野生植物保护条例》（国务院令第204号）第二十三条</w:t>
            </w:r>
            <w:r>
              <w:rPr>
                <w:rStyle w:val="17"/>
                <w:rFonts w:hint="eastAsia" w:ascii="宋体" w:hAnsi="宋体" w:eastAsia="宋体" w:cs="宋体"/>
                <w:sz w:val="21"/>
                <w:szCs w:val="21"/>
                <w:lang w:val="en-US" w:eastAsia="zh-CN" w:bidi="ar"/>
              </w:rPr>
              <w:t xml:space="preserve">  未取得采集证或者未按照采集证的规定采集国家重点保护野生植物的，由野生植物行政主管部门没收所采集的野生植物和违法所得，可以并处违法所得10倍以下的罚款；有采集证的，并可以吊销采集证。</w:t>
            </w:r>
            <w:r>
              <w:rPr>
                <w:rStyle w:val="17"/>
                <w:rFonts w:hint="eastAsia" w:ascii="宋体" w:hAnsi="宋体" w:eastAsia="宋体" w:cs="宋体"/>
                <w:sz w:val="21"/>
                <w:szCs w:val="21"/>
                <w:lang w:val="en-US" w:eastAsia="zh-CN" w:bidi="ar"/>
              </w:rPr>
              <w:br w:type="textWrapping"/>
            </w:r>
            <w:r>
              <w:rPr>
                <w:rStyle w:val="18"/>
                <w:rFonts w:hint="eastAsia" w:ascii="宋体" w:hAnsi="宋体" w:eastAsia="宋体" w:cs="宋体"/>
                <w:sz w:val="21"/>
                <w:szCs w:val="21"/>
                <w:lang w:val="en-US" w:eastAsia="zh-CN" w:bidi="ar"/>
              </w:rPr>
              <w:t xml:space="preserve">第二十四条  </w:t>
            </w:r>
            <w:r>
              <w:rPr>
                <w:rStyle w:val="17"/>
                <w:rFonts w:hint="eastAsia" w:ascii="宋体" w:hAnsi="宋体" w:eastAsia="宋体" w:cs="宋体"/>
                <w:sz w:val="21"/>
                <w:szCs w:val="21"/>
                <w:lang w:val="en-US" w:eastAsia="zh-CN" w:bidi="ar"/>
              </w:rPr>
              <w:t>违反本条例规定，出售、收购国家重点保护野生植物的，由工商行政管理部门或者野生植物行政主管部门按照职责分工没收野生植物和违法所得，可以并处违法所得10倍以下的罚款。</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E877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市林业局</w:t>
            </w:r>
          </w:p>
        </w:tc>
      </w:tr>
      <w:tr w14:paraId="7DC13A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9"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4C55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2D0A6">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对本辖区违反规定野外用火的行为的处罚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78AB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B64A8">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《山西省人民代表大会常务委员会关于禁止野外用火的决定》（2020年5月15日山西省第十三届人民代表大会常务委员会第十八次会议通过）第十四条第一款</w:t>
            </w:r>
            <w:r>
              <w:rPr>
                <w:rStyle w:val="17"/>
                <w:rFonts w:hint="eastAsia" w:ascii="宋体" w:hAnsi="宋体" w:eastAsia="宋体" w:cs="宋体"/>
                <w:sz w:val="21"/>
                <w:szCs w:val="21"/>
                <w:lang w:val="en-US" w:eastAsia="zh-CN" w:bidi="ar"/>
              </w:rPr>
              <w:t xml:space="preserve"> </w:t>
            </w:r>
            <w:r>
              <w:rPr>
                <w:rStyle w:val="17"/>
                <w:rFonts w:hint="eastAsia" w:ascii="宋体" w:hAnsi="宋体" w:cs="宋体"/>
                <w:sz w:val="21"/>
                <w:szCs w:val="21"/>
                <w:lang w:val="en-US" w:eastAsia="zh-CN" w:bidi="ar"/>
              </w:rPr>
              <w:t xml:space="preserve"> </w:t>
            </w:r>
            <w:r>
              <w:rPr>
                <w:rStyle w:val="17"/>
                <w:rFonts w:hint="eastAsia" w:ascii="宋体" w:hAnsi="宋体" w:eastAsia="宋体" w:cs="宋体"/>
                <w:sz w:val="21"/>
                <w:szCs w:val="21"/>
                <w:lang w:val="en-US" w:eastAsia="zh-CN" w:bidi="ar"/>
              </w:rPr>
              <w:t>违反本决定规定，在森林、草原、林地及其边缘吸烟、燃放烟花爆竹，有烧纸、焚香、点蜡等祭祀殡葬用火行为或者在森林、林地及其边缘向车外丢弃火种的，由县级以上人民政府林业和草原主管部门责令改正，给予警告，对个人并处二百元以上三千元以下罚款，对单位并处二万元以上五万元以下罚款；在森林、草原、林地及其边缘烤火、野炊、烧烤、火把照明、点放孔明灯、烧灰积肥、烧荒燎堰的，由县级以上人民政府林业和草原主管部门责令改正，给予警告，对个人并处五百元以上三千元以下罚款，对单位并处三万元以上五万元以下罚款；构成犯罪的，依法追究刑事责任。</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E553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市林业局</w:t>
            </w:r>
          </w:p>
        </w:tc>
      </w:tr>
      <w:tr w14:paraId="5468E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2082A">
            <w:pPr>
              <w:keepNext w:val="0"/>
              <w:keepLines w:val="0"/>
              <w:pageBreakBefore w:val="0"/>
              <w:widowControl/>
              <w:suppressLineNumbers w:val="0"/>
              <w:kinsoku/>
              <w:wordWrap/>
              <w:overflowPunct/>
              <w:topLinePunct w:val="0"/>
              <w:autoSpaceDE/>
              <w:autoSpaceDN/>
              <w:bidi w:val="0"/>
              <w:adjustRightInd/>
              <w:snapToGrid/>
              <w:spacing w:before="937" w:beforeLines="300"/>
              <w:jc w:val="center"/>
              <w:textAlignment w:val="center"/>
              <w:rPr>
                <w:rFonts w:hint="eastAsia" w:ascii="宋体" w:hAnsi="宋体" w:eastAsia="宋体" w:cs="宋体"/>
                <w:i w:val="0"/>
                <w:iCs w:val="0"/>
                <w:color w:val="000000"/>
                <w:sz w:val="21"/>
                <w:szCs w:val="21"/>
                <w:u w:val="none"/>
              </w:rPr>
            </w:pPr>
            <w:r>
              <w:rPr>
                <w:sz w:val="32"/>
              </w:rPr>
              <mc:AlternateContent>
                <mc:Choice Requires="wps">
                  <w:drawing>
                    <wp:anchor distT="0" distB="0" distL="114300" distR="114300" simplePos="0" relativeHeight="251667456" behindDoc="0" locked="0" layoutInCell="1" allowOverlap="1">
                      <wp:simplePos x="0" y="0"/>
                      <wp:positionH relativeFrom="column">
                        <wp:posOffset>-619125</wp:posOffset>
                      </wp:positionH>
                      <wp:positionV relativeFrom="paragraph">
                        <wp:posOffset>-420370</wp:posOffset>
                      </wp:positionV>
                      <wp:extent cx="514985" cy="5558155"/>
                      <wp:effectExtent l="0" t="0" r="3175" b="4445"/>
                      <wp:wrapNone/>
                      <wp:docPr id="16" name="文本框 16"/>
                      <wp:cNvGraphicFramePr/>
                      <a:graphic xmlns:a="http://schemas.openxmlformats.org/drawingml/2006/main">
                        <a:graphicData uri="http://schemas.microsoft.com/office/word/2010/wordprocessingShape">
                          <wps:wsp>
                            <wps:cNvSpPr txBox="1"/>
                            <wps:spPr>
                              <a:xfrm>
                                <a:off x="0" y="0"/>
                                <a:ext cx="514985" cy="55581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DE99A4D">
                                  <w:pPr>
                                    <w:keepNext w:val="0"/>
                                    <w:keepLines w:val="0"/>
                                    <w:pageBreakBefore w:val="0"/>
                                    <w:widowControl w:val="0"/>
                                    <w:kinsoku/>
                                    <w:wordWrap/>
                                    <w:overflowPunct/>
                                    <w:topLinePunct w:val="0"/>
                                    <w:autoSpaceDE/>
                                    <w:autoSpaceDN/>
                                    <w:bidi w:val="0"/>
                                    <w:adjustRightInd/>
                                    <w:snapToGrid/>
                                    <w:ind w:left="420" w:leftChars="200" w:right="420" w:rightChars="200"/>
                                    <w:jc w:val="left"/>
                                    <w:textAlignment w:val="auto"/>
                                    <w:rPr>
                                      <w:rFonts w:hint="eastAsia" w:ascii="宋体" w:hAnsi="宋体" w:eastAsia="宋体" w:cs="宋体"/>
                                      <w:sz w:val="28"/>
                                      <w:szCs w:val="28"/>
                                      <w:lang w:val="en-US" w:eastAsia="zh-CN"/>
                                    </w:rPr>
                                  </w:pP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8.75pt;margin-top:-33.1pt;height:437.65pt;width:40.55pt;z-index:251667456;mso-width-relative:page;mso-height-relative:page;" fillcolor="#FFFFFF [3201]" filled="t" stroked="f" coordsize="21600,21600" o:gfxdata="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O8alHHaAAAA&#10;CwEAAA8AAAAAAAAAAQAgAAAAIgAAAGRycy9kb3ducmV2LnhtbFBLAQIUABQAAAAIAIdO4kCOuO6Z&#10;VAIAAJMEAAAOAAAAAAAAAAEAIAAAACkBAABkcnMvZTJvRG9jLnhtbFBLBQYAAAAABgAGAFkBAADv&#10;BQAAAAA=&#10;">
                      <v:fill on="t" focussize="0,0"/>
                      <v:stroke on="f" weight="0.5pt"/>
                      <v:imagedata o:title=""/>
                      <o:lock v:ext="edit" aspectratio="f"/>
                      <v:textbox style="layout-flow:vertical-ideographic;">
                        <w:txbxContent>
                          <w:p w14:paraId="2DE99A4D">
                            <w:pPr>
                              <w:keepNext w:val="0"/>
                              <w:keepLines w:val="0"/>
                              <w:pageBreakBefore w:val="0"/>
                              <w:widowControl w:val="0"/>
                              <w:kinsoku/>
                              <w:wordWrap/>
                              <w:overflowPunct/>
                              <w:topLinePunct w:val="0"/>
                              <w:autoSpaceDE/>
                              <w:autoSpaceDN/>
                              <w:bidi w:val="0"/>
                              <w:adjustRightInd/>
                              <w:snapToGrid/>
                              <w:ind w:left="420" w:leftChars="200" w:right="420" w:rightChars="200"/>
                              <w:jc w:val="left"/>
                              <w:textAlignment w:val="auto"/>
                              <w:rPr>
                                <w:rFonts w:hint="eastAsia" w:ascii="宋体" w:hAnsi="宋体" w:eastAsia="宋体" w:cs="宋体"/>
                                <w:sz w:val="28"/>
                                <w:szCs w:val="28"/>
                                <w:lang w:val="en-US" w:eastAsia="zh-CN"/>
                              </w:rPr>
                            </w:pPr>
                          </w:p>
                        </w:txbxContent>
                      </v:textbox>
                    </v:shape>
                  </w:pict>
                </mc:Fallback>
              </mc:AlternateContent>
            </w:r>
            <w:r>
              <w:rPr>
                <w:rFonts w:hint="eastAsia" w:ascii="宋体" w:hAnsi="宋体" w:eastAsia="宋体" w:cs="宋体"/>
                <w:i w:val="0"/>
                <w:iCs w:val="0"/>
                <w:color w:val="000000"/>
                <w:kern w:val="0"/>
                <w:sz w:val="21"/>
                <w:szCs w:val="21"/>
                <w:u w:val="none"/>
                <w:lang w:val="en-US" w:eastAsia="zh-CN" w:bidi="ar"/>
              </w:rPr>
              <w:t>26</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F801E">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对弄虚作假、虚报冒领补助资金的行为的处罚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2497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CCE7A">
            <w:pPr>
              <w:keepNext w:val="0"/>
              <w:keepLines w:val="0"/>
              <w:widowControl/>
              <w:suppressLineNumbers w:val="0"/>
              <w:jc w:val="both"/>
              <w:textAlignment w:val="center"/>
              <w:rPr>
                <w:rStyle w:val="17"/>
                <w:rFonts w:hint="eastAsia" w:ascii="宋体" w:hAnsi="宋体" w:eastAsia="宋体" w:cs="宋体"/>
                <w:sz w:val="21"/>
                <w:szCs w:val="21"/>
                <w:lang w:val="en-US" w:eastAsia="zh-CN" w:bidi="ar"/>
              </w:rPr>
            </w:pPr>
            <w:r>
              <w:rPr>
                <w:rFonts w:hint="eastAsia" w:ascii="宋体" w:hAnsi="宋体" w:eastAsia="宋体" w:cs="宋体"/>
                <w:b/>
                <w:bCs/>
                <w:i w:val="0"/>
                <w:iCs w:val="0"/>
                <w:color w:val="000000"/>
                <w:kern w:val="0"/>
                <w:sz w:val="21"/>
                <w:szCs w:val="21"/>
                <w:u w:val="none"/>
                <w:lang w:val="en-US" w:eastAsia="zh-CN" w:bidi="ar"/>
              </w:rPr>
              <w:t>《退耕还林条例》（国务院令第367号）第五十七条第一款第二项、第二款</w:t>
            </w:r>
            <w:r>
              <w:rPr>
                <w:rStyle w:val="17"/>
                <w:rFonts w:hint="eastAsia" w:ascii="宋体" w:hAnsi="宋体" w:eastAsia="宋体" w:cs="宋体"/>
                <w:sz w:val="21"/>
                <w:szCs w:val="21"/>
                <w:lang w:val="en-US" w:eastAsia="zh-CN" w:bidi="ar"/>
              </w:rPr>
              <w:t xml:space="preserve"> </w:t>
            </w:r>
            <w:r>
              <w:rPr>
                <w:rStyle w:val="17"/>
                <w:rFonts w:hint="eastAsia" w:ascii="宋体" w:hAnsi="宋体" w:cs="宋体"/>
                <w:sz w:val="21"/>
                <w:szCs w:val="21"/>
                <w:lang w:val="en-US" w:eastAsia="zh-CN" w:bidi="ar"/>
              </w:rPr>
              <w:t xml:space="preserve"> </w:t>
            </w:r>
            <w:r>
              <w:rPr>
                <w:rStyle w:val="17"/>
                <w:rFonts w:hint="eastAsia" w:ascii="宋体" w:hAnsi="宋体" w:eastAsia="宋体" w:cs="宋体"/>
                <w:sz w:val="21"/>
                <w:szCs w:val="21"/>
                <w:lang w:val="en-US" w:eastAsia="zh-CN" w:bidi="ar"/>
              </w:rPr>
              <w:t>国家工作人员在退耕还林活动中违反本条例的规定，有下列行为之一的，依照刑法关于贪污罪、受贿罪、挪用公款罪或者其他罪的规定，依法追究刑事责任；尚不够刑事处罚的，依法给予行政处分：（二）弄虚作假、虚报冒领补助资金和粮食的</w:t>
            </w:r>
            <w:r>
              <w:rPr>
                <w:rStyle w:val="17"/>
                <w:rFonts w:hint="eastAsia" w:ascii="宋体" w:hAnsi="宋体" w:cs="宋体"/>
                <w:sz w:val="21"/>
                <w:szCs w:val="21"/>
                <w:lang w:val="en-US" w:eastAsia="zh-CN" w:bidi="ar"/>
              </w:rPr>
              <w:t>。</w:t>
            </w:r>
          </w:p>
          <w:p w14:paraId="72F90609">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Style w:val="17"/>
                <w:rFonts w:hint="eastAsia" w:ascii="宋体" w:hAnsi="宋体" w:eastAsia="宋体" w:cs="宋体"/>
                <w:sz w:val="21"/>
                <w:szCs w:val="21"/>
                <w:lang w:val="en-US" w:eastAsia="zh-CN" w:bidi="ar"/>
              </w:rPr>
              <w:t>国家工作人员以外的其他人员有前款第（二）项行为的，依照刑法关于诈骗罪或者其他罪的规定，依法追究刑事责任；尚不够刑事处罚的，由县级以上人民政府林业行政主管部门责令退回所冒领的补助资金和粮食，处以冒领资金额2倍以上5倍以下的罚款。</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46C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市林业局</w:t>
            </w:r>
          </w:p>
        </w:tc>
      </w:tr>
      <w:tr w14:paraId="78DA1E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9"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752A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085D5">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对违反规定拒绝接受森林防火检查或者接到森林火灾隐患整改通知书逾期不消除火灾隐患的行为的处罚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3566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5EF25">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 xml:space="preserve">《森林防火条例》（国务院令第541号）第四十九条 </w:t>
            </w:r>
            <w:r>
              <w:rPr>
                <w:rStyle w:val="17"/>
                <w:rFonts w:hint="eastAsia" w:ascii="宋体" w:hAnsi="宋体" w:eastAsia="宋体" w:cs="宋体"/>
                <w:sz w:val="21"/>
                <w:szCs w:val="21"/>
                <w:lang w:val="en-US" w:eastAsia="zh-CN" w:bidi="ar"/>
              </w:rPr>
              <w:t xml:space="preserve"> 违反本条例规定，森林防火区内的有关单位或者个人拒绝接受森林防火检查或者接到森林火灾隐患整改通知书逾期不消除火灾隐患的，由县级以上地方人民政府林业主管部门责令改正，给予警告，对个人并处200元以上2000元以下罚款，对单位并处5000元以上1万元以下罚款。</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1C0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市林业局</w:t>
            </w:r>
          </w:p>
        </w:tc>
      </w:tr>
      <w:tr w14:paraId="0938E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6"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E87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B96C8">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对违反规定擅自在森林防火区内野外用火的行为的处罚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7083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55024">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《森林防火条例》（国务院令第541号）第五十条</w:t>
            </w:r>
            <w:r>
              <w:rPr>
                <w:rStyle w:val="17"/>
                <w:rFonts w:hint="eastAsia" w:ascii="宋体" w:hAnsi="宋体" w:eastAsia="宋体" w:cs="宋体"/>
                <w:sz w:val="21"/>
                <w:szCs w:val="21"/>
                <w:lang w:val="en-US" w:eastAsia="zh-CN" w:bidi="ar"/>
              </w:rPr>
              <w:t xml:space="preserve">  违反本条例规定，森林防火期内未经批准擅自在森林防火区内野外用火的，由县级以上地方人民政府林业主管部门责令停止违法行为，给予警告，对个人并处200元以上3000元以下罚款，对单位并处1万元以上5万元以下罚款。</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804A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市林业局</w:t>
            </w:r>
          </w:p>
        </w:tc>
      </w:tr>
      <w:tr w14:paraId="4396C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8"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EA16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6D73F">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对在文物建筑保护范围内吸烟、燃放烟花爆竹、点放孔明灯等使用明火行为的处罚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（依法适用简易程序的）</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5106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EA372">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《中华人民共和国消防法》第六十三条</w:t>
            </w:r>
            <w:r>
              <w:rPr>
                <w:rStyle w:val="17"/>
                <w:rFonts w:hint="eastAsia" w:ascii="宋体" w:hAnsi="宋体" w:eastAsia="宋体" w:cs="宋体"/>
                <w:sz w:val="21"/>
                <w:szCs w:val="21"/>
                <w:lang w:val="en-US" w:eastAsia="zh-CN" w:bidi="ar"/>
              </w:rPr>
              <w:t xml:space="preserve">  违反本法规定，有下列行为之一的，处警告或者五百元以下罚款</w:t>
            </w:r>
            <w:r>
              <w:rPr>
                <w:rStyle w:val="17"/>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t>（一）违反消防安全规定进入生产、储存易燃易爆危险品场所的；（二）违反规定使用明火作业或者在具有火灾、爆炸危险的场所吸烟、使用明火的。</w:t>
            </w:r>
            <w:r>
              <w:rPr>
                <w:rStyle w:val="17"/>
                <w:rFonts w:hint="eastAsia" w:ascii="宋体" w:hAnsi="宋体" w:eastAsia="宋体" w:cs="宋体"/>
                <w:sz w:val="21"/>
                <w:szCs w:val="21"/>
                <w:lang w:val="en-US" w:eastAsia="zh-CN" w:bidi="ar"/>
              </w:rPr>
              <w:br w:type="textWrapping"/>
            </w:r>
            <w:r>
              <w:rPr>
                <w:rStyle w:val="18"/>
                <w:rFonts w:hint="eastAsia" w:ascii="宋体" w:hAnsi="宋体" w:eastAsia="宋体" w:cs="宋体"/>
                <w:sz w:val="21"/>
                <w:szCs w:val="21"/>
                <w:lang w:val="en-US" w:eastAsia="zh-CN" w:bidi="ar"/>
              </w:rPr>
              <w:t>《山西省文物建筑消防安全管理规定》（省政府令第281号）第二十四条第一款</w:t>
            </w:r>
            <w:r>
              <w:rPr>
                <w:rStyle w:val="17"/>
                <w:rFonts w:hint="eastAsia" w:ascii="宋体" w:hAnsi="宋体" w:eastAsia="宋体" w:cs="宋体"/>
                <w:sz w:val="21"/>
                <w:szCs w:val="21"/>
                <w:lang w:val="en-US" w:eastAsia="zh-CN" w:bidi="ar"/>
              </w:rPr>
              <w:t xml:space="preserve"> </w:t>
            </w:r>
            <w:r>
              <w:rPr>
                <w:rStyle w:val="17"/>
                <w:rFonts w:hint="eastAsia" w:ascii="宋体" w:hAnsi="宋体" w:cs="宋体"/>
                <w:sz w:val="21"/>
                <w:szCs w:val="21"/>
                <w:lang w:val="en-US" w:eastAsia="zh-CN" w:bidi="ar"/>
              </w:rPr>
              <w:t xml:space="preserve"> </w:t>
            </w:r>
            <w:r>
              <w:rPr>
                <w:rStyle w:val="17"/>
                <w:rFonts w:hint="eastAsia" w:ascii="宋体" w:hAnsi="宋体" w:eastAsia="宋体" w:cs="宋体"/>
                <w:sz w:val="21"/>
                <w:szCs w:val="21"/>
                <w:lang w:val="en-US" w:eastAsia="zh-CN" w:bidi="ar"/>
              </w:rPr>
              <w:t>在文物建筑保护范围内禁止吸烟、燃放烟花爆竹、点放孔明灯等使用明火行为。确需用火的，应当符合文物建筑消防安全管理行业标准的规定。</w:t>
            </w:r>
            <w:r>
              <w:rPr>
                <w:rStyle w:val="17"/>
                <w:rFonts w:hint="eastAsia" w:ascii="宋体" w:hAnsi="宋体" w:eastAsia="宋体" w:cs="宋体"/>
                <w:sz w:val="21"/>
                <w:szCs w:val="21"/>
                <w:lang w:val="en-US" w:eastAsia="zh-CN" w:bidi="ar"/>
              </w:rPr>
              <w:br w:type="textWrapping"/>
            </w:r>
            <w:r>
              <w:rPr>
                <w:rStyle w:val="18"/>
                <w:rFonts w:hint="eastAsia" w:ascii="宋体" w:hAnsi="宋体" w:eastAsia="宋体" w:cs="宋体"/>
                <w:sz w:val="21"/>
                <w:szCs w:val="21"/>
                <w:lang w:val="en-US" w:eastAsia="zh-CN" w:bidi="ar"/>
              </w:rPr>
              <w:t>第三十四条</w:t>
            </w:r>
            <w:r>
              <w:rPr>
                <w:rStyle w:val="17"/>
                <w:rFonts w:hint="eastAsia" w:ascii="宋体" w:hAnsi="宋体" w:eastAsia="宋体" w:cs="宋体"/>
                <w:sz w:val="21"/>
                <w:szCs w:val="21"/>
                <w:lang w:val="en-US" w:eastAsia="zh-CN" w:bidi="ar"/>
              </w:rPr>
              <w:t xml:space="preserve"> </w:t>
            </w:r>
            <w:r>
              <w:rPr>
                <w:rStyle w:val="17"/>
                <w:rFonts w:hint="eastAsia" w:ascii="宋体" w:hAnsi="宋体" w:cs="宋体"/>
                <w:sz w:val="21"/>
                <w:szCs w:val="21"/>
                <w:lang w:val="en-US" w:eastAsia="zh-CN" w:bidi="ar"/>
              </w:rPr>
              <w:t xml:space="preserve"> </w:t>
            </w:r>
            <w:r>
              <w:rPr>
                <w:rStyle w:val="17"/>
                <w:rFonts w:hint="eastAsia" w:ascii="宋体" w:hAnsi="宋体" w:eastAsia="宋体" w:cs="宋体"/>
                <w:sz w:val="21"/>
                <w:szCs w:val="21"/>
                <w:lang w:val="en-US" w:eastAsia="zh-CN" w:bidi="ar"/>
              </w:rPr>
              <w:t>违反本规定的行为，法律、法规已经规定法律责任的，从其规定。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32D9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市消防救援</w:t>
            </w:r>
          </w:p>
          <w:p w14:paraId="4A2EB66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大队</w:t>
            </w:r>
          </w:p>
        </w:tc>
      </w:tr>
      <w:tr w14:paraId="72A9C2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76"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D6B20">
            <w:pPr>
              <w:keepNext w:val="0"/>
              <w:keepLines w:val="0"/>
              <w:pageBreakBefore w:val="0"/>
              <w:widowControl/>
              <w:suppressLineNumbers w:val="0"/>
              <w:kinsoku/>
              <w:wordWrap/>
              <w:overflowPunct/>
              <w:topLinePunct w:val="0"/>
              <w:autoSpaceDE/>
              <w:autoSpaceDN/>
              <w:bidi w:val="0"/>
              <w:adjustRightInd/>
              <w:snapToGrid/>
              <w:spacing w:before="1093" w:beforeLines="350"/>
              <w:jc w:val="center"/>
              <w:textAlignment w:val="center"/>
              <w:rPr>
                <w:rFonts w:hint="eastAsia" w:ascii="宋体" w:hAnsi="宋体" w:eastAsia="宋体" w:cs="宋体"/>
                <w:i w:val="0"/>
                <w:iCs w:val="0"/>
                <w:color w:val="000000"/>
                <w:sz w:val="21"/>
                <w:szCs w:val="21"/>
                <w:u w:val="none"/>
              </w:rPr>
            </w:pPr>
            <w:r>
              <w:rPr>
                <w:sz w:val="32"/>
              </w:rPr>
              <mc:AlternateContent>
                <mc:Choice Requires="wps">
                  <w:drawing>
                    <wp:anchor distT="0" distB="0" distL="114300" distR="114300" simplePos="0" relativeHeight="251668480" behindDoc="0" locked="0" layoutInCell="1" allowOverlap="1">
                      <wp:simplePos x="0" y="0"/>
                      <wp:positionH relativeFrom="column">
                        <wp:posOffset>-619125</wp:posOffset>
                      </wp:positionH>
                      <wp:positionV relativeFrom="paragraph">
                        <wp:posOffset>-420370</wp:posOffset>
                      </wp:positionV>
                      <wp:extent cx="514985" cy="5558155"/>
                      <wp:effectExtent l="0" t="0" r="3175" b="4445"/>
                      <wp:wrapNone/>
                      <wp:docPr id="17" name="文本框 17"/>
                      <wp:cNvGraphicFramePr/>
                      <a:graphic xmlns:a="http://schemas.openxmlformats.org/drawingml/2006/main">
                        <a:graphicData uri="http://schemas.microsoft.com/office/word/2010/wordprocessingShape">
                          <wps:wsp>
                            <wps:cNvSpPr txBox="1"/>
                            <wps:spPr>
                              <a:xfrm>
                                <a:off x="0" y="0"/>
                                <a:ext cx="514985" cy="55581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A33E27E">
                                  <w:pPr>
                                    <w:keepNext w:val="0"/>
                                    <w:keepLines w:val="0"/>
                                    <w:pageBreakBefore w:val="0"/>
                                    <w:widowControl w:val="0"/>
                                    <w:kinsoku/>
                                    <w:wordWrap/>
                                    <w:overflowPunct/>
                                    <w:topLinePunct w:val="0"/>
                                    <w:autoSpaceDE/>
                                    <w:autoSpaceDN/>
                                    <w:bidi w:val="0"/>
                                    <w:adjustRightInd/>
                                    <w:snapToGrid/>
                                    <w:ind w:left="420" w:leftChars="200" w:right="420" w:rightChars="200"/>
                                    <w:jc w:val="right"/>
                                    <w:textAlignment w:val="auto"/>
                                    <w:rPr>
                                      <w:rFonts w:hint="eastAsia" w:ascii="宋体" w:hAnsi="宋体" w:eastAsia="宋体" w:cs="宋体"/>
                                      <w:sz w:val="28"/>
                                      <w:szCs w:val="28"/>
                                      <w:lang w:val="en-US" w:eastAsia="zh-CN"/>
                                    </w:rPr>
                                  </w:pP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8.75pt;margin-top:-33.1pt;height:437.65pt;width:40.55pt;z-index:251668480;mso-width-relative:page;mso-height-relative:page;" fillcolor="#FFFFFF [3201]" filled="t" stroked="f" coordsize="21600,21600" o:gfxdata="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O8alHHaAAAA&#10;CwEAAA8AAAAAAAAAAQAgAAAAIgAAAGRycy9kb3ducmV2LnhtbFBLAQIUABQAAAAIAIdO4kDoCvDG&#10;VAIAAJMEAAAOAAAAAAAAAAEAIAAAACkBAABkcnMvZTJvRG9jLnhtbFBLBQYAAAAABgAGAFkBAADv&#10;BQAAAAA=&#10;">
                      <v:fill on="t" focussize="0,0"/>
                      <v:stroke on="f" weight="0.5pt"/>
                      <v:imagedata o:title=""/>
                      <o:lock v:ext="edit" aspectratio="f"/>
                      <v:textbox style="layout-flow:vertical-ideographic;">
                        <w:txbxContent>
                          <w:p w14:paraId="0A33E27E">
                            <w:pPr>
                              <w:keepNext w:val="0"/>
                              <w:keepLines w:val="0"/>
                              <w:pageBreakBefore w:val="0"/>
                              <w:widowControl w:val="0"/>
                              <w:kinsoku/>
                              <w:wordWrap/>
                              <w:overflowPunct/>
                              <w:topLinePunct w:val="0"/>
                              <w:autoSpaceDE/>
                              <w:autoSpaceDN/>
                              <w:bidi w:val="0"/>
                              <w:adjustRightInd/>
                              <w:snapToGrid/>
                              <w:ind w:left="420" w:leftChars="200" w:right="420" w:rightChars="200"/>
                              <w:jc w:val="right"/>
                              <w:textAlignment w:val="auto"/>
                              <w:rPr>
                                <w:rFonts w:hint="eastAsia" w:ascii="宋体" w:hAnsi="宋体" w:eastAsia="宋体" w:cs="宋体"/>
                                <w:sz w:val="28"/>
                                <w:szCs w:val="28"/>
                                <w:lang w:val="en-US" w:eastAsia="zh-CN"/>
                              </w:rPr>
                            </w:pPr>
                          </w:p>
                        </w:txbxContent>
                      </v:textbox>
                    </v:shape>
                  </w:pict>
                </mc:Fallback>
              </mc:AlternateContent>
            </w:r>
            <w:r>
              <w:rPr>
                <w:rFonts w:hint="eastAsia" w:ascii="宋体" w:hAnsi="宋体" w:eastAsia="宋体" w:cs="宋体"/>
                <w:i w:val="0"/>
                <w:iCs w:val="0"/>
                <w:color w:val="000000"/>
                <w:kern w:val="0"/>
                <w:sz w:val="21"/>
                <w:szCs w:val="21"/>
                <w:u w:val="none"/>
                <w:lang w:val="en-US" w:eastAsia="zh-CN" w:bidi="ar"/>
              </w:rPr>
              <w:t>30</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DCA69">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对埋压、圈占、遮挡消火栓、消防水泵接合器，占用、堵塞、封闭消防取水码头、消防水鹤等公共消防设施的行为的处罚（依法适用简易程序的）</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82B2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7ECCA">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《中华人民共和国消防法》第六十条第一款第四项</w:t>
            </w:r>
            <w:r>
              <w:rPr>
                <w:rFonts w:hint="eastAsia" w:ascii="宋体" w:hAnsi="宋体" w:cs="宋体"/>
                <w:b/>
                <w:bCs/>
                <w:i w:val="0"/>
                <w:iCs w:val="0"/>
                <w:color w:val="000000"/>
                <w:kern w:val="0"/>
                <w:sz w:val="21"/>
                <w:szCs w:val="21"/>
                <w:u w:val="none"/>
                <w:lang w:val="en-US" w:eastAsia="zh-CN" w:bidi="ar"/>
              </w:rPr>
              <w:t xml:space="preserve">、第二款  </w:t>
            </w:r>
            <w:r>
              <w:rPr>
                <w:rStyle w:val="17"/>
                <w:rFonts w:hint="eastAsia" w:ascii="宋体" w:hAnsi="宋体" w:eastAsia="宋体" w:cs="宋体"/>
                <w:sz w:val="21"/>
                <w:szCs w:val="21"/>
                <w:lang w:val="en-US" w:eastAsia="zh-CN" w:bidi="ar"/>
              </w:rPr>
              <w:t>单位违反本法规定，有下列行为之一的，责令改正，处五千元以上五万元以下罚款</w:t>
            </w:r>
            <w:r>
              <w:rPr>
                <w:rStyle w:val="17"/>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t>（四）埋压、圈占、遮挡消火栓或者占用防火间距的</w:t>
            </w:r>
            <w:r>
              <w:rPr>
                <w:rStyle w:val="17"/>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br w:type="textWrapping"/>
            </w:r>
            <w:r>
              <w:rPr>
                <w:rStyle w:val="17"/>
                <w:rFonts w:hint="eastAsia" w:ascii="宋体" w:hAnsi="宋体" w:eastAsia="宋体" w:cs="宋体"/>
                <w:sz w:val="21"/>
                <w:szCs w:val="21"/>
                <w:lang w:val="en-US" w:eastAsia="zh-CN" w:bidi="ar"/>
              </w:rPr>
              <w:t xml:space="preserve">个人有前款第二项、第三项、第四项、第五项行为之一的，处警告或者五百元以下罚款。 </w:t>
            </w:r>
            <w:r>
              <w:rPr>
                <w:rStyle w:val="17"/>
                <w:rFonts w:hint="eastAsia" w:ascii="宋体" w:hAnsi="宋体" w:eastAsia="宋体" w:cs="宋体"/>
                <w:sz w:val="21"/>
                <w:szCs w:val="21"/>
                <w:lang w:val="en-US" w:eastAsia="zh-CN" w:bidi="ar"/>
              </w:rPr>
              <w:br w:type="textWrapping"/>
            </w:r>
            <w:r>
              <w:rPr>
                <w:rStyle w:val="18"/>
                <w:rFonts w:hint="eastAsia" w:ascii="宋体" w:hAnsi="宋体" w:eastAsia="宋体" w:cs="宋体"/>
                <w:sz w:val="21"/>
                <w:szCs w:val="21"/>
                <w:lang w:val="en-US" w:eastAsia="zh-CN" w:bidi="ar"/>
              </w:rPr>
              <w:t>《山西省消防条例》第十八条</w:t>
            </w:r>
            <w:r>
              <w:rPr>
                <w:rStyle w:val="20"/>
                <w:rFonts w:hint="eastAsia" w:ascii="宋体" w:hAnsi="宋体" w:cs="宋体"/>
                <w:sz w:val="21"/>
                <w:szCs w:val="21"/>
                <w:lang w:val="en-US" w:eastAsia="zh-CN" w:bidi="ar"/>
              </w:rPr>
              <w:t xml:space="preserve">  </w:t>
            </w:r>
            <w:r>
              <w:rPr>
                <w:rStyle w:val="17"/>
                <w:rFonts w:hint="eastAsia" w:ascii="宋体" w:hAnsi="宋体" w:eastAsia="宋体" w:cs="宋体"/>
                <w:sz w:val="21"/>
                <w:szCs w:val="21"/>
                <w:lang w:val="en-US" w:eastAsia="zh-CN" w:bidi="ar"/>
              </w:rPr>
              <w:t>任何单位和个人不得埋压、圈占、遮挡消防水泵接合器，不得占用、堵塞、封闭消防取水码头、消防水鹤等公共消防设施。</w:t>
            </w:r>
            <w:r>
              <w:rPr>
                <w:rStyle w:val="18"/>
                <w:rFonts w:hint="eastAsia" w:ascii="宋体" w:hAnsi="宋体" w:eastAsia="宋体" w:cs="宋体"/>
                <w:sz w:val="21"/>
                <w:szCs w:val="21"/>
                <w:lang w:val="en-US" w:eastAsia="zh-CN" w:bidi="ar"/>
              </w:rPr>
              <w:br w:type="textWrapping"/>
            </w:r>
            <w:r>
              <w:rPr>
                <w:rStyle w:val="18"/>
                <w:rFonts w:hint="eastAsia" w:ascii="宋体" w:hAnsi="宋体" w:eastAsia="宋体" w:cs="宋体"/>
                <w:sz w:val="21"/>
                <w:szCs w:val="21"/>
                <w:lang w:val="en-US" w:eastAsia="zh-CN" w:bidi="ar"/>
              </w:rPr>
              <w:t>第四十四条</w:t>
            </w:r>
            <w:r>
              <w:rPr>
                <w:rStyle w:val="17"/>
                <w:rFonts w:hint="eastAsia" w:ascii="宋体" w:hAnsi="宋体" w:eastAsia="宋体" w:cs="宋体"/>
                <w:sz w:val="21"/>
                <w:szCs w:val="21"/>
                <w:lang w:val="en-US" w:eastAsia="zh-CN" w:bidi="ar"/>
              </w:rPr>
              <w:t xml:space="preserve">  违反本条例第十八条规定的，由消防救援机构责令改正，对单位并处五千元以上五万元以下罚款；对个人处警告或者五百元以下罚款。</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A6E1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市消防救援</w:t>
            </w:r>
          </w:p>
          <w:p w14:paraId="6F983A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大队</w:t>
            </w:r>
          </w:p>
        </w:tc>
      </w:tr>
      <w:tr w14:paraId="161DF4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6"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BC41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07836">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对占用、堵塞、封闭消防车通道，妨碍消防车通行的行为的处罚（依法适用简易程序的）</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EDA6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2A77F">
            <w:pPr>
              <w:keepNext w:val="0"/>
              <w:keepLines w:val="0"/>
              <w:widowControl/>
              <w:suppressLineNumbers w:val="0"/>
              <w:jc w:val="both"/>
              <w:textAlignment w:val="center"/>
              <w:rPr>
                <w:rStyle w:val="17"/>
                <w:rFonts w:hint="eastAsia" w:ascii="宋体" w:hAnsi="宋体" w:cs="宋体"/>
                <w:sz w:val="21"/>
                <w:szCs w:val="21"/>
                <w:lang w:val="en-US" w:eastAsia="zh-CN" w:bidi="ar"/>
              </w:rPr>
            </w:pPr>
            <w:r>
              <w:rPr>
                <w:rFonts w:hint="eastAsia" w:ascii="宋体" w:hAnsi="宋体" w:eastAsia="宋体" w:cs="宋体"/>
                <w:b/>
                <w:bCs/>
                <w:i w:val="0"/>
                <w:iCs w:val="0"/>
                <w:color w:val="000000"/>
                <w:kern w:val="0"/>
                <w:sz w:val="21"/>
                <w:szCs w:val="21"/>
                <w:u w:val="none"/>
                <w:lang w:val="en-US" w:eastAsia="zh-CN" w:bidi="ar"/>
              </w:rPr>
              <w:t>《中华人民共和国消防法》第六十条第一款第五项、第二款</w:t>
            </w:r>
            <w:r>
              <w:rPr>
                <w:rStyle w:val="17"/>
                <w:rFonts w:hint="eastAsia" w:ascii="宋体" w:hAnsi="宋体" w:eastAsia="宋体" w:cs="宋体"/>
                <w:sz w:val="21"/>
                <w:szCs w:val="21"/>
                <w:lang w:val="en-US" w:eastAsia="zh-CN" w:bidi="ar"/>
              </w:rPr>
              <w:t xml:space="preserve">  单位违反本法规定，有下列行为之一的，责令改正，处五千元以上五万元以下罚款</w:t>
            </w:r>
            <w:r>
              <w:rPr>
                <w:rStyle w:val="17"/>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t>（五）占用、堵塞、封闭消防车通道，妨碍消防车通行的</w:t>
            </w:r>
            <w:r>
              <w:rPr>
                <w:rStyle w:val="17"/>
                <w:rFonts w:hint="eastAsia" w:ascii="宋体" w:hAnsi="宋体" w:cs="宋体"/>
                <w:sz w:val="21"/>
                <w:szCs w:val="21"/>
                <w:lang w:val="en-US" w:eastAsia="zh-CN" w:bidi="ar"/>
              </w:rPr>
              <w:t>。</w:t>
            </w:r>
          </w:p>
          <w:p w14:paraId="79DA44C2">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Style w:val="17"/>
                <w:rFonts w:hint="eastAsia" w:ascii="宋体" w:hAnsi="宋体" w:eastAsia="宋体" w:cs="宋体"/>
                <w:sz w:val="21"/>
                <w:szCs w:val="21"/>
                <w:lang w:val="en-US" w:eastAsia="zh-CN" w:bidi="ar"/>
              </w:rPr>
              <w:t>个人有前款第二项、第三项、第四项、第五项行为之一的，处警告或者五百元以下罚款。</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9A3D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市消防救援</w:t>
            </w:r>
          </w:p>
          <w:p w14:paraId="41F9BD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大队</w:t>
            </w:r>
          </w:p>
        </w:tc>
      </w:tr>
      <w:tr w14:paraId="6B52BE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8"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7FA8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DCB31">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对在高层民用建筑的公共门厅、疏散走道、楼梯间、安全出口停放电动自行车或者为电动自行车充电等占用、堵塞、封闭疏散通道、安全出口或者有其他妨碍安全疏散且拒不改正的行为的处罚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（依法适用简易程序的）</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7D5C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D0971">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 xml:space="preserve">《中华人民共和国消防法》第六十条第一款第三项、第二款  </w:t>
            </w:r>
            <w:r>
              <w:rPr>
                <w:rStyle w:val="17"/>
                <w:rFonts w:hint="eastAsia" w:ascii="宋体" w:hAnsi="宋体" w:eastAsia="宋体" w:cs="宋体"/>
                <w:sz w:val="21"/>
                <w:szCs w:val="21"/>
                <w:lang w:val="en-US" w:eastAsia="zh-CN" w:bidi="ar"/>
              </w:rPr>
              <w:t>单位违反本法规定，有下列行为之一的，责令改正，处五千元以上五万元以下罚款</w:t>
            </w:r>
            <w:r>
              <w:rPr>
                <w:rStyle w:val="17"/>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t>（三）占用、堵塞、封闭疏散通道、安全出口或者有其他妨碍安全疏散行为的</w:t>
            </w:r>
            <w:r>
              <w:rPr>
                <w:rStyle w:val="17"/>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br w:type="textWrapping"/>
            </w:r>
            <w:r>
              <w:rPr>
                <w:rStyle w:val="17"/>
                <w:rFonts w:hint="eastAsia" w:ascii="宋体" w:hAnsi="宋体" w:eastAsia="宋体" w:cs="宋体"/>
                <w:sz w:val="21"/>
                <w:szCs w:val="21"/>
                <w:lang w:val="en-US" w:eastAsia="zh-CN" w:bidi="ar"/>
              </w:rPr>
              <w:t>个人有前款第二项、第三项、第四项、第五项行为之一的，处警告或者五百元以下罚款。</w:t>
            </w:r>
            <w:r>
              <w:rPr>
                <w:rStyle w:val="17"/>
                <w:rFonts w:hint="eastAsia" w:ascii="宋体" w:hAnsi="宋体" w:eastAsia="宋体" w:cs="宋体"/>
                <w:sz w:val="21"/>
                <w:szCs w:val="21"/>
                <w:lang w:val="en-US" w:eastAsia="zh-CN" w:bidi="ar"/>
              </w:rPr>
              <w:br w:type="textWrapping"/>
            </w:r>
            <w:r>
              <w:rPr>
                <w:rStyle w:val="18"/>
                <w:rFonts w:hint="eastAsia" w:ascii="宋体" w:hAnsi="宋体" w:eastAsia="宋体" w:cs="宋体"/>
                <w:sz w:val="21"/>
                <w:szCs w:val="21"/>
                <w:lang w:val="en-US" w:eastAsia="zh-CN" w:bidi="ar"/>
              </w:rPr>
              <w:t>《高层民用建筑消防安全管理规定》第三十七条第一款</w:t>
            </w:r>
            <w:r>
              <w:rPr>
                <w:rStyle w:val="17"/>
                <w:rFonts w:hint="eastAsia" w:ascii="宋体" w:hAnsi="宋体" w:eastAsia="宋体" w:cs="宋体"/>
                <w:sz w:val="21"/>
                <w:szCs w:val="21"/>
                <w:lang w:val="en-US" w:eastAsia="zh-CN" w:bidi="ar"/>
              </w:rPr>
              <w:t xml:space="preserve">  禁止在高层民用建筑公共门厅、疏散走道、楼梯间、安全出口停放电动自行车或者为电动自行车充电。</w:t>
            </w:r>
            <w:r>
              <w:rPr>
                <w:rStyle w:val="17"/>
                <w:rFonts w:hint="eastAsia" w:ascii="宋体" w:hAnsi="宋体" w:eastAsia="宋体" w:cs="宋体"/>
                <w:sz w:val="21"/>
                <w:szCs w:val="21"/>
                <w:lang w:val="en-US" w:eastAsia="zh-CN" w:bidi="ar"/>
              </w:rPr>
              <w:br w:type="textWrapping"/>
            </w:r>
            <w:r>
              <w:rPr>
                <w:rStyle w:val="18"/>
                <w:rFonts w:hint="eastAsia" w:ascii="宋体" w:hAnsi="宋体" w:eastAsia="宋体" w:cs="宋体"/>
                <w:sz w:val="21"/>
                <w:szCs w:val="21"/>
                <w:lang w:val="en-US" w:eastAsia="zh-CN" w:bidi="ar"/>
              </w:rPr>
              <w:t xml:space="preserve">第四十七条第一款第七项 </w:t>
            </w:r>
            <w:r>
              <w:rPr>
                <w:rStyle w:val="17"/>
                <w:rFonts w:hint="eastAsia" w:ascii="宋体" w:hAnsi="宋体" w:eastAsia="宋体" w:cs="宋体"/>
                <w:sz w:val="21"/>
                <w:szCs w:val="21"/>
                <w:lang w:val="en-US" w:eastAsia="zh-CN" w:bidi="ar"/>
              </w:rPr>
              <w:t xml:space="preserve"> 违反本规定，有下列行为之一的，由消防救援机构责令改正，对经营性单位和个人处2000元以上10000元以下罚款，对非经营性单位和个人处500元以上1000元以下罚款</w:t>
            </w:r>
            <w:r>
              <w:rPr>
                <w:rStyle w:val="17"/>
                <w:rFonts w:hint="eastAsia" w:ascii="宋体" w:hAnsi="宋体" w:cs="宋体"/>
                <w:sz w:val="21"/>
                <w:szCs w:val="21"/>
                <w:lang w:val="en-US" w:eastAsia="zh-CN" w:bidi="ar"/>
              </w:rPr>
              <w:t>：</w:t>
            </w:r>
            <w:r>
              <w:rPr>
                <w:rStyle w:val="17"/>
                <w:rFonts w:hint="eastAsia" w:ascii="宋体" w:hAnsi="宋体" w:eastAsia="宋体" w:cs="宋体"/>
                <w:sz w:val="21"/>
                <w:szCs w:val="21"/>
                <w:lang w:val="en-US" w:eastAsia="zh-CN" w:bidi="ar"/>
              </w:rPr>
              <w:t>（七）在高层民用建筑的公共门厅、疏散走道、楼梯间、安全出口停放电动自行车或者为电动自行车充电，拒不改正的。</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3495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市消防救援</w:t>
            </w:r>
          </w:p>
          <w:p w14:paraId="1112D92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大队</w:t>
            </w:r>
          </w:p>
        </w:tc>
      </w:tr>
      <w:tr w14:paraId="46281B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467B6">
            <w:pPr>
              <w:keepNext w:val="0"/>
              <w:keepLines w:val="0"/>
              <w:pageBreakBefore w:val="0"/>
              <w:widowControl/>
              <w:suppressLineNumbers w:val="0"/>
              <w:kinsoku/>
              <w:wordWrap/>
              <w:overflowPunct/>
              <w:topLinePunct w:val="0"/>
              <w:autoSpaceDE/>
              <w:autoSpaceDN/>
              <w:bidi w:val="0"/>
              <w:adjustRightInd/>
              <w:snapToGrid/>
              <w:spacing w:before="469" w:beforeLines="150"/>
              <w:jc w:val="center"/>
              <w:textAlignment w:val="center"/>
              <w:rPr>
                <w:rFonts w:hint="eastAsia" w:ascii="宋体" w:hAnsi="宋体" w:eastAsia="宋体" w:cs="宋体"/>
                <w:i w:val="0"/>
                <w:iCs w:val="0"/>
                <w:color w:val="000000"/>
                <w:sz w:val="21"/>
                <w:szCs w:val="21"/>
                <w:u w:val="none"/>
              </w:rPr>
            </w:pPr>
            <w:r>
              <w:rPr>
                <w:sz w:val="32"/>
              </w:rPr>
              <mc:AlternateContent>
                <mc:Choice Requires="wps">
                  <w:drawing>
                    <wp:anchor distT="0" distB="0" distL="114300" distR="114300" simplePos="0" relativeHeight="251669504" behindDoc="0" locked="0" layoutInCell="1" allowOverlap="1">
                      <wp:simplePos x="0" y="0"/>
                      <wp:positionH relativeFrom="column">
                        <wp:posOffset>-619125</wp:posOffset>
                      </wp:positionH>
                      <wp:positionV relativeFrom="paragraph">
                        <wp:posOffset>-420370</wp:posOffset>
                      </wp:positionV>
                      <wp:extent cx="514985" cy="5558155"/>
                      <wp:effectExtent l="0" t="0" r="3175" b="4445"/>
                      <wp:wrapNone/>
                      <wp:docPr id="18" name="文本框 18"/>
                      <wp:cNvGraphicFramePr/>
                      <a:graphic xmlns:a="http://schemas.openxmlformats.org/drawingml/2006/main">
                        <a:graphicData uri="http://schemas.microsoft.com/office/word/2010/wordprocessingShape">
                          <wps:wsp>
                            <wps:cNvSpPr txBox="1"/>
                            <wps:spPr>
                              <a:xfrm>
                                <a:off x="0" y="0"/>
                                <a:ext cx="514985" cy="55581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7D69226">
                                  <w:pPr>
                                    <w:keepNext w:val="0"/>
                                    <w:keepLines w:val="0"/>
                                    <w:pageBreakBefore w:val="0"/>
                                    <w:widowControl w:val="0"/>
                                    <w:kinsoku/>
                                    <w:wordWrap/>
                                    <w:overflowPunct/>
                                    <w:topLinePunct w:val="0"/>
                                    <w:autoSpaceDE/>
                                    <w:autoSpaceDN/>
                                    <w:bidi w:val="0"/>
                                    <w:adjustRightInd/>
                                    <w:snapToGrid/>
                                    <w:ind w:left="420" w:leftChars="200" w:right="420" w:rightChars="200"/>
                                    <w:jc w:val="left"/>
                                    <w:textAlignment w:val="auto"/>
                                    <w:rPr>
                                      <w:rFonts w:hint="eastAsia" w:ascii="宋体" w:hAnsi="宋体" w:eastAsia="宋体" w:cs="宋体"/>
                                      <w:sz w:val="28"/>
                                      <w:szCs w:val="28"/>
                                      <w:lang w:val="en-US" w:eastAsia="zh-CN"/>
                                    </w:rPr>
                                  </w:pP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8.75pt;margin-top:-33.1pt;height:437.65pt;width:40.55pt;z-index:251669504;mso-width-relative:page;mso-height-relative:page;" fillcolor="#FFFFFF [3201]" filled="t" stroked="f" coordsize="21600,21600" o:gfxdata="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O8alHHaAAAA&#10;CwEAAA8AAAAAAAAAAQAgAAAAIgAAAGRycy9kb3ducmV2LnhtbFBLAQIUABQAAAAIAIdO4kBoir4V&#10;VAIAAJMEAAAOAAAAAAAAAAEAIAAAACkBAABkcnMvZTJvRG9jLnhtbFBLBQYAAAAABgAGAFkBAADv&#10;BQAAAAA=&#10;">
                      <v:fill on="t" focussize="0,0"/>
                      <v:stroke on="f" weight="0.5pt"/>
                      <v:imagedata o:title=""/>
                      <o:lock v:ext="edit" aspectratio="f"/>
                      <v:textbox style="layout-flow:vertical-ideographic;">
                        <w:txbxContent>
                          <w:p w14:paraId="07D69226">
                            <w:pPr>
                              <w:keepNext w:val="0"/>
                              <w:keepLines w:val="0"/>
                              <w:pageBreakBefore w:val="0"/>
                              <w:widowControl w:val="0"/>
                              <w:kinsoku/>
                              <w:wordWrap/>
                              <w:overflowPunct/>
                              <w:topLinePunct w:val="0"/>
                              <w:autoSpaceDE/>
                              <w:autoSpaceDN/>
                              <w:bidi w:val="0"/>
                              <w:adjustRightInd/>
                              <w:snapToGrid/>
                              <w:ind w:left="420" w:leftChars="200" w:right="420" w:rightChars="200"/>
                              <w:jc w:val="left"/>
                              <w:textAlignment w:val="auto"/>
                              <w:rPr>
                                <w:rFonts w:hint="eastAsia" w:ascii="宋体" w:hAnsi="宋体" w:eastAsia="宋体" w:cs="宋体"/>
                                <w:sz w:val="28"/>
                                <w:szCs w:val="28"/>
                                <w:lang w:val="en-US" w:eastAsia="zh-CN"/>
                              </w:rPr>
                            </w:pPr>
                          </w:p>
                        </w:txbxContent>
                      </v:textbox>
                    </v:shape>
                  </w:pict>
                </mc:Fallback>
              </mc:AlternateContent>
            </w:r>
            <w:r>
              <w:rPr>
                <w:rFonts w:hint="eastAsia" w:ascii="宋体" w:hAnsi="宋体" w:eastAsia="宋体" w:cs="宋体"/>
                <w:i w:val="0"/>
                <w:iCs w:val="0"/>
                <w:color w:val="000000"/>
                <w:kern w:val="0"/>
                <w:sz w:val="21"/>
                <w:szCs w:val="21"/>
                <w:u w:val="none"/>
                <w:lang w:val="en-US" w:eastAsia="zh-CN" w:bidi="ar"/>
              </w:rPr>
              <w:t>33</w:t>
            </w:r>
          </w:p>
        </w:tc>
        <w:tc>
          <w:tcPr>
            <w:tcW w:w="20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579A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对露天焚烧秸秆、落叶等产生烟尘污染物质行为的处罚</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0025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w:t>
            </w:r>
            <w:bookmarkStart w:id="0" w:name="_GoBack"/>
            <w:bookmarkEnd w:id="0"/>
            <w:r>
              <w:rPr>
                <w:rFonts w:hint="eastAsia" w:ascii="宋体" w:hAnsi="宋体" w:eastAsia="宋体" w:cs="宋体"/>
                <w:i w:val="0"/>
                <w:iCs w:val="0"/>
                <w:color w:val="000000"/>
                <w:kern w:val="0"/>
                <w:sz w:val="21"/>
                <w:szCs w:val="21"/>
                <w:u w:val="none"/>
                <w:lang w:val="en-US" w:eastAsia="zh-CN" w:bidi="ar"/>
              </w:rPr>
              <w:t>政处罚</w:t>
            </w:r>
          </w:p>
        </w:tc>
        <w:tc>
          <w:tcPr>
            <w:tcW w:w="9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3371F">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《中华人民共和国大气污染防治法》第一百一十九条第一款</w:t>
            </w:r>
            <w:r>
              <w:rPr>
                <w:rStyle w:val="17"/>
                <w:rFonts w:hint="eastAsia" w:ascii="宋体" w:hAnsi="宋体" w:eastAsia="宋体" w:cs="宋体"/>
                <w:sz w:val="21"/>
                <w:szCs w:val="21"/>
                <w:lang w:val="en-US" w:eastAsia="zh-CN" w:bidi="ar"/>
              </w:rPr>
              <w:t>　违反本法规定，在人口集中地区对树木、花草喷洒剧毒、高毒农药，或者露天焚烧秸秆、落叶等产生烟尘污染的物质的，由县级以上地方人民政府确定的监督管理部门责令改正，并可以处五百元以上二千元以下的罚款。</w:t>
            </w:r>
            <w:r>
              <w:rPr>
                <w:rStyle w:val="19"/>
                <w:rFonts w:hint="eastAsia" w:ascii="宋体" w:hAnsi="宋体" w:eastAsia="宋体" w:cs="宋体"/>
                <w:sz w:val="21"/>
                <w:szCs w:val="21"/>
                <w:lang w:val="en-US" w:eastAsia="zh-CN" w:bidi="ar"/>
              </w:rPr>
              <w:t> </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36E0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临汾市生态环境局侯马分局</w:t>
            </w:r>
          </w:p>
        </w:tc>
      </w:tr>
    </w:tbl>
    <w:p w14:paraId="5EF30DA8">
      <w:pPr>
        <w:pStyle w:val="6"/>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hint="eastAsia" w:ascii="仿宋_GB2312" w:hAnsi="宋体" w:eastAsia="仿宋_GB2312" w:cs="宋体"/>
          <w:sz w:val="32"/>
          <w:szCs w:val="32"/>
        </w:rPr>
        <w:sectPr>
          <w:footerReference r:id="rId4" w:type="first"/>
          <w:footerReference r:id="rId3" w:type="default"/>
          <w:pgSz w:w="16838" w:h="11906" w:orient="landscape"/>
          <w:pgMar w:top="1587" w:right="1417" w:bottom="1474" w:left="1701" w:header="851" w:footer="1020" w:gutter="0"/>
          <w:pgBorders>
            <w:top w:val="none" w:sz="0" w:space="0"/>
            <w:left w:val="none" w:sz="0" w:space="0"/>
            <w:bottom w:val="none" w:sz="0" w:space="0"/>
            <w:right w:val="none" w:sz="0" w:space="0"/>
          </w:pgBorders>
          <w:pgNumType w:fmt="numberInDash"/>
          <w:cols w:space="0" w:num="1"/>
          <w:titlePg/>
          <w:rtlGutter w:val="0"/>
          <w:docGrid w:type="lines" w:linePitch="312" w:charSpace="0"/>
        </w:sectPr>
      </w:pPr>
    </w:p>
    <w:p w14:paraId="27872F86">
      <w:pPr>
        <w:pStyle w:val="6"/>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hint="eastAsia" w:ascii="仿宋_GB2312" w:hAnsi="仿宋_GB2312" w:eastAsia="仿宋_GB2312" w:cs="仿宋_GB2312"/>
          <w:spacing w:val="0"/>
          <w:sz w:val="32"/>
          <w:szCs w:val="32"/>
          <w:highlight w:val="none"/>
          <w:lang w:val="en-US" w:eastAsia="zh-CN"/>
        </w:rPr>
      </w:pPr>
    </w:p>
    <w:sectPr>
      <w:pgSz w:w="11906" w:h="16838"/>
      <w:pgMar w:top="2098" w:right="1474" w:bottom="1984" w:left="1587" w:header="851" w:footer="1417"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1C9961">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114E39">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NjYjM1YjMyMTQzZGNkODQyMDA2ZWNiM2FiMjc0MDcifQ=="/>
    <w:docVar w:name="KSO_WPS_MARK_KEY" w:val="50426849-c1ed-454f-b432-4eba9b20992a"/>
  </w:docVars>
  <w:rsids>
    <w:rsidRoot w:val="00000000"/>
    <w:rsid w:val="00327CB1"/>
    <w:rsid w:val="00684E6B"/>
    <w:rsid w:val="007678F7"/>
    <w:rsid w:val="01334EB8"/>
    <w:rsid w:val="01390BCC"/>
    <w:rsid w:val="0147778C"/>
    <w:rsid w:val="01685C10"/>
    <w:rsid w:val="018D2272"/>
    <w:rsid w:val="021A1B9C"/>
    <w:rsid w:val="024A3CE3"/>
    <w:rsid w:val="02F441EB"/>
    <w:rsid w:val="03011BBD"/>
    <w:rsid w:val="03257E37"/>
    <w:rsid w:val="03353A41"/>
    <w:rsid w:val="033F3B43"/>
    <w:rsid w:val="038068F2"/>
    <w:rsid w:val="03866FA6"/>
    <w:rsid w:val="03AF404B"/>
    <w:rsid w:val="03B52852"/>
    <w:rsid w:val="03BC35F6"/>
    <w:rsid w:val="03D35307"/>
    <w:rsid w:val="042F3D71"/>
    <w:rsid w:val="04677A9E"/>
    <w:rsid w:val="05A03DA6"/>
    <w:rsid w:val="05A60E22"/>
    <w:rsid w:val="05BF2781"/>
    <w:rsid w:val="06493B19"/>
    <w:rsid w:val="0681277C"/>
    <w:rsid w:val="06BD6912"/>
    <w:rsid w:val="06C64132"/>
    <w:rsid w:val="07197231"/>
    <w:rsid w:val="07337870"/>
    <w:rsid w:val="074C5FE0"/>
    <w:rsid w:val="078171B1"/>
    <w:rsid w:val="07B61280"/>
    <w:rsid w:val="07DA6BC1"/>
    <w:rsid w:val="07E85655"/>
    <w:rsid w:val="07F12200"/>
    <w:rsid w:val="092B3ADE"/>
    <w:rsid w:val="09325A76"/>
    <w:rsid w:val="098D27B7"/>
    <w:rsid w:val="09CB0412"/>
    <w:rsid w:val="09CE0055"/>
    <w:rsid w:val="09F7011C"/>
    <w:rsid w:val="0A3F519C"/>
    <w:rsid w:val="0A766000"/>
    <w:rsid w:val="0ABE2D06"/>
    <w:rsid w:val="0B2E0654"/>
    <w:rsid w:val="0C0A4976"/>
    <w:rsid w:val="0C580AA0"/>
    <w:rsid w:val="0CA95F5D"/>
    <w:rsid w:val="0CBD6B55"/>
    <w:rsid w:val="0D3753CD"/>
    <w:rsid w:val="0D4C4B31"/>
    <w:rsid w:val="0DA12DB2"/>
    <w:rsid w:val="0DA85322"/>
    <w:rsid w:val="0DB4095F"/>
    <w:rsid w:val="0DD73C46"/>
    <w:rsid w:val="0E672DA1"/>
    <w:rsid w:val="0ECA55AA"/>
    <w:rsid w:val="0F01566C"/>
    <w:rsid w:val="0F2647F7"/>
    <w:rsid w:val="0F8B2070"/>
    <w:rsid w:val="0FE05D43"/>
    <w:rsid w:val="10625426"/>
    <w:rsid w:val="108616C4"/>
    <w:rsid w:val="10AD5132"/>
    <w:rsid w:val="10E4370F"/>
    <w:rsid w:val="11067A7B"/>
    <w:rsid w:val="11155D1F"/>
    <w:rsid w:val="11972769"/>
    <w:rsid w:val="11C122CE"/>
    <w:rsid w:val="11DF29BC"/>
    <w:rsid w:val="12013C2C"/>
    <w:rsid w:val="126E26A3"/>
    <w:rsid w:val="12A51AEB"/>
    <w:rsid w:val="12AC3622"/>
    <w:rsid w:val="133D279D"/>
    <w:rsid w:val="1343597C"/>
    <w:rsid w:val="13C54541"/>
    <w:rsid w:val="14213AC1"/>
    <w:rsid w:val="143E4A1F"/>
    <w:rsid w:val="143F42F3"/>
    <w:rsid w:val="1462085B"/>
    <w:rsid w:val="14DF0230"/>
    <w:rsid w:val="15086464"/>
    <w:rsid w:val="158B374C"/>
    <w:rsid w:val="16165FDF"/>
    <w:rsid w:val="161C2B3E"/>
    <w:rsid w:val="16C531D6"/>
    <w:rsid w:val="16DD6561"/>
    <w:rsid w:val="17233A58"/>
    <w:rsid w:val="17237EFC"/>
    <w:rsid w:val="174D31CB"/>
    <w:rsid w:val="177719B1"/>
    <w:rsid w:val="17AB0B86"/>
    <w:rsid w:val="1866211F"/>
    <w:rsid w:val="188C597E"/>
    <w:rsid w:val="191923C5"/>
    <w:rsid w:val="19CC64E6"/>
    <w:rsid w:val="19D07738"/>
    <w:rsid w:val="1A067891"/>
    <w:rsid w:val="1A2A7AEF"/>
    <w:rsid w:val="1A400DC5"/>
    <w:rsid w:val="1A62397D"/>
    <w:rsid w:val="1A750A24"/>
    <w:rsid w:val="1A823B12"/>
    <w:rsid w:val="1AEA644E"/>
    <w:rsid w:val="1BDE538A"/>
    <w:rsid w:val="1C4032FE"/>
    <w:rsid w:val="1C56397A"/>
    <w:rsid w:val="1C7C0863"/>
    <w:rsid w:val="1CF87735"/>
    <w:rsid w:val="1D1327C1"/>
    <w:rsid w:val="1D3102EB"/>
    <w:rsid w:val="1D942906"/>
    <w:rsid w:val="1DF52566"/>
    <w:rsid w:val="1DF73489"/>
    <w:rsid w:val="1E3929AF"/>
    <w:rsid w:val="1E990FDC"/>
    <w:rsid w:val="1E9F491F"/>
    <w:rsid w:val="1EB560FD"/>
    <w:rsid w:val="1F38206B"/>
    <w:rsid w:val="1F3F00D7"/>
    <w:rsid w:val="1F7441EB"/>
    <w:rsid w:val="1F880DDE"/>
    <w:rsid w:val="1F9D0339"/>
    <w:rsid w:val="1FBE121D"/>
    <w:rsid w:val="2045328F"/>
    <w:rsid w:val="209D2ACD"/>
    <w:rsid w:val="2129610F"/>
    <w:rsid w:val="217C6B87"/>
    <w:rsid w:val="221E4537"/>
    <w:rsid w:val="226F35F0"/>
    <w:rsid w:val="22BB61E1"/>
    <w:rsid w:val="22BC392E"/>
    <w:rsid w:val="22C34341"/>
    <w:rsid w:val="23CC3487"/>
    <w:rsid w:val="23CD64D8"/>
    <w:rsid w:val="23EF5320"/>
    <w:rsid w:val="23F37E91"/>
    <w:rsid w:val="24373239"/>
    <w:rsid w:val="244B45EE"/>
    <w:rsid w:val="2483647E"/>
    <w:rsid w:val="249E0BC2"/>
    <w:rsid w:val="24C438B6"/>
    <w:rsid w:val="24D95C0B"/>
    <w:rsid w:val="24E11423"/>
    <w:rsid w:val="250F7D59"/>
    <w:rsid w:val="25253682"/>
    <w:rsid w:val="25331C52"/>
    <w:rsid w:val="25680695"/>
    <w:rsid w:val="25B27A18"/>
    <w:rsid w:val="267D48A5"/>
    <w:rsid w:val="26F45411"/>
    <w:rsid w:val="276A36A6"/>
    <w:rsid w:val="277B745F"/>
    <w:rsid w:val="27F32FF7"/>
    <w:rsid w:val="287F0D00"/>
    <w:rsid w:val="288D6343"/>
    <w:rsid w:val="29182742"/>
    <w:rsid w:val="294D2BB7"/>
    <w:rsid w:val="29CC7444"/>
    <w:rsid w:val="29F4223C"/>
    <w:rsid w:val="2A297180"/>
    <w:rsid w:val="2AE5732D"/>
    <w:rsid w:val="2B033E75"/>
    <w:rsid w:val="2B0377B9"/>
    <w:rsid w:val="2B762899"/>
    <w:rsid w:val="2BD001FB"/>
    <w:rsid w:val="2BF52767"/>
    <w:rsid w:val="2C0477F7"/>
    <w:rsid w:val="2C2B7B44"/>
    <w:rsid w:val="2C5D509C"/>
    <w:rsid w:val="2C770676"/>
    <w:rsid w:val="2C90798A"/>
    <w:rsid w:val="2D095B19"/>
    <w:rsid w:val="2D155509"/>
    <w:rsid w:val="2D8067F4"/>
    <w:rsid w:val="2D815678"/>
    <w:rsid w:val="2DB476A8"/>
    <w:rsid w:val="2E3D31FA"/>
    <w:rsid w:val="2E8360F7"/>
    <w:rsid w:val="2EB15996"/>
    <w:rsid w:val="2ECA7A84"/>
    <w:rsid w:val="2EF31870"/>
    <w:rsid w:val="2F126434"/>
    <w:rsid w:val="2FCA6FB4"/>
    <w:rsid w:val="2FEA5603"/>
    <w:rsid w:val="2FFB1E92"/>
    <w:rsid w:val="301200CB"/>
    <w:rsid w:val="301D6CAB"/>
    <w:rsid w:val="30220C50"/>
    <w:rsid w:val="30565E74"/>
    <w:rsid w:val="3087239F"/>
    <w:rsid w:val="308E41E1"/>
    <w:rsid w:val="30901D07"/>
    <w:rsid w:val="30922718"/>
    <w:rsid w:val="315F4EFF"/>
    <w:rsid w:val="31824115"/>
    <w:rsid w:val="319E3365"/>
    <w:rsid w:val="31CD2AE7"/>
    <w:rsid w:val="31D73965"/>
    <w:rsid w:val="31E308D2"/>
    <w:rsid w:val="31E843A3"/>
    <w:rsid w:val="32205DAF"/>
    <w:rsid w:val="32456B21"/>
    <w:rsid w:val="3276317E"/>
    <w:rsid w:val="32896D68"/>
    <w:rsid w:val="3293390D"/>
    <w:rsid w:val="329E7FD5"/>
    <w:rsid w:val="32BB6CF8"/>
    <w:rsid w:val="32BF6DF9"/>
    <w:rsid w:val="32CE61B4"/>
    <w:rsid w:val="3320499D"/>
    <w:rsid w:val="3342714E"/>
    <w:rsid w:val="341420F8"/>
    <w:rsid w:val="34413D46"/>
    <w:rsid w:val="344F1ED9"/>
    <w:rsid w:val="34DA0600"/>
    <w:rsid w:val="34FD1935"/>
    <w:rsid w:val="359D0A22"/>
    <w:rsid w:val="35B46497"/>
    <w:rsid w:val="3645089E"/>
    <w:rsid w:val="36697F60"/>
    <w:rsid w:val="36C1495A"/>
    <w:rsid w:val="36EF2610"/>
    <w:rsid w:val="375E1A65"/>
    <w:rsid w:val="37936580"/>
    <w:rsid w:val="37B22EAA"/>
    <w:rsid w:val="37C449C6"/>
    <w:rsid w:val="383C0B3D"/>
    <w:rsid w:val="394B68B0"/>
    <w:rsid w:val="399E0E63"/>
    <w:rsid w:val="39FC21BB"/>
    <w:rsid w:val="3A113675"/>
    <w:rsid w:val="3A2551A7"/>
    <w:rsid w:val="3A393900"/>
    <w:rsid w:val="3A7A4A68"/>
    <w:rsid w:val="3AF9708A"/>
    <w:rsid w:val="3B885D5C"/>
    <w:rsid w:val="3B9A612F"/>
    <w:rsid w:val="3BA24DF1"/>
    <w:rsid w:val="3BA66975"/>
    <w:rsid w:val="3BAB0EC3"/>
    <w:rsid w:val="3BE6169E"/>
    <w:rsid w:val="3C164633"/>
    <w:rsid w:val="3C5E0F0B"/>
    <w:rsid w:val="3CA5403F"/>
    <w:rsid w:val="3CBF9F5F"/>
    <w:rsid w:val="3E2703F9"/>
    <w:rsid w:val="3E2E0611"/>
    <w:rsid w:val="3E51587D"/>
    <w:rsid w:val="3EBE7CEB"/>
    <w:rsid w:val="3F087854"/>
    <w:rsid w:val="3F544847"/>
    <w:rsid w:val="3F7A243C"/>
    <w:rsid w:val="3F7A2500"/>
    <w:rsid w:val="3F806717"/>
    <w:rsid w:val="3F810093"/>
    <w:rsid w:val="3F8907A7"/>
    <w:rsid w:val="3FE24813"/>
    <w:rsid w:val="3FFF6056"/>
    <w:rsid w:val="4044666A"/>
    <w:rsid w:val="4047775E"/>
    <w:rsid w:val="40C33A32"/>
    <w:rsid w:val="40ED6D35"/>
    <w:rsid w:val="410F4430"/>
    <w:rsid w:val="41406E31"/>
    <w:rsid w:val="41532E90"/>
    <w:rsid w:val="41AE46E3"/>
    <w:rsid w:val="41BB6FF3"/>
    <w:rsid w:val="41FB50EA"/>
    <w:rsid w:val="422B4258"/>
    <w:rsid w:val="429A1049"/>
    <w:rsid w:val="43511AE7"/>
    <w:rsid w:val="436F7EA2"/>
    <w:rsid w:val="437154EB"/>
    <w:rsid w:val="43AF2B2B"/>
    <w:rsid w:val="43C5780F"/>
    <w:rsid w:val="43F20384"/>
    <w:rsid w:val="43F98422"/>
    <w:rsid w:val="440856F4"/>
    <w:rsid w:val="449E3CE3"/>
    <w:rsid w:val="44D501D8"/>
    <w:rsid w:val="44EA245F"/>
    <w:rsid w:val="45271713"/>
    <w:rsid w:val="45734A55"/>
    <w:rsid w:val="45C92ADF"/>
    <w:rsid w:val="462B08BE"/>
    <w:rsid w:val="46565349"/>
    <w:rsid w:val="47160D44"/>
    <w:rsid w:val="47541888"/>
    <w:rsid w:val="482E553A"/>
    <w:rsid w:val="48336337"/>
    <w:rsid w:val="48671147"/>
    <w:rsid w:val="489363E0"/>
    <w:rsid w:val="48947DD3"/>
    <w:rsid w:val="48A024C9"/>
    <w:rsid w:val="48B33615"/>
    <w:rsid w:val="48E8116F"/>
    <w:rsid w:val="497D46AD"/>
    <w:rsid w:val="49C56CCA"/>
    <w:rsid w:val="4A550F90"/>
    <w:rsid w:val="4A82670C"/>
    <w:rsid w:val="4AD8710F"/>
    <w:rsid w:val="4AF13ABA"/>
    <w:rsid w:val="4AFD7946"/>
    <w:rsid w:val="4B4E2F35"/>
    <w:rsid w:val="4BA15CEF"/>
    <w:rsid w:val="4C861701"/>
    <w:rsid w:val="4C9D5A7F"/>
    <w:rsid w:val="4E0E2E37"/>
    <w:rsid w:val="4E502E97"/>
    <w:rsid w:val="4E810A89"/>
    <w:rsid w:val="4EE73BF9"/>
    <w:rsid w:val="4F1C281E"/>
    <w:rsid w:val="4F1E17A8"/>
    <w:rsid w:val="4F3E697A"/>
    <w:rsid w:val="4F6B63C9"/>
    <w:rsid w:val="4F94052B"/>
    <w:rsid w:val="4F942FDE"/>
    <w:rsid w:val="4FB04343"/>
    <w:rsid w:val="4FC81584"/>
    <w:rsid w:val="4FD13CCD"/>
    <w:rsid w:val="4FDC241B"/>
    <w:rsid w:val="508A5FE3"/>
    <w:rsid w:val="51617FCF"/>
    <w:rsid w:val="51A27E07"/>
    <w:rsid w:val="51DA5154"/>
    <w:rsid w:val="525C4AA8"/>
    <w:rsid w:val="52F412D1"/>
    <w:rsid w:val="53243454"/>
    <w:rsid w:val="53451DE4"/>
    <w:rsid w:val="53A2397B"/>
    <w:rsid w:val="53BC2AEE"/>
    <w:rsid w:val="53BD9FB2"/>
    <w:rsid w:val="53DE4E60"/>
    <w:rsid w:val="542F28B5"/>
    <w:rsid w:val="543D5452"/>
    <w:rsid w:val="5459582B"/>
    <w:rsid w:val="546515FA"/>
    <w:rsid w:val="55057637"/>
    <w:rsid w:val="5552494D"/>
    <w:rsid w:val="561A1EEF"/>
    <w:rsid w:val="5676304E"/>
    <w:rsid w:val="56FB17C4"/>
    <w:rsid w:val="56FC55C5"/>
    <w:rsid w:val="5776BDD4"/>
    <w:rsid w:val="57C24535"/>
    <w:rsid w:val="57DD1426"/>
    <w:rsid w:val="57E21FB6"/>
    <w:rsid w:val="57FF4FBB"/>
    <w:rsid w:val="5861548F"/>
    <w:rsid w:val="58B2085E"/>
    <w:rsid w:val="58CE3CE6"/>
    <w:rsid w:val="58DE27C9"/>
    <w:rsid w:val="59270DAE"/>
    <w:rsid w:val="5940391C"/>
    <w:rsid w:val="59A0095D"/>
    <w:rsid w:val="59C12681"/>
    <w:rsid w:val="5A690B58"/>
    <w:rsid w:val="5A852EE2"/>
    <w:rsid w:val="5A8B0B98"/>
    <w:rsid w:val="5A984544"/>
    <w:rsid w:val="5AD073F5"/>
    <w:rsid w:val="5AD54636"/>
    <w:rsid w:val="5B062A42"/>
    <w:rsid w:val="5B162079"/>
    <w:rsid w:val="5BB92F72"/>
    <w:rsid w:val="5C7C405D"/>
    <w:rsid w:val="5C9E06B3"/>
    <w:rsid w:val="5C9E6DD5"/>
    <w:rsid w:val="5D0F37EB"/>
    <w:rsid w:val="5D460B1D"/>
    <w:rsid w:val="5D81304D"/>
    <w:rsid w:val="5D954680"/>
    <w:rsid w:val="5DA83ACD"/>
    <w:rsid w:val="5DC87CB8"/>
    <w:rsid w:val="5DDB6408"/>
    <w:rsid w:val="5E5341F0"/>
    <w:rsid w:val="5ED164A5"/>
    <w:rsid w:val="5EDA0245"/>
    <w:rsid w:val="5F28B541"/>
    <w:rsid w:val="5F3D4636"/>
    <w:rsid w:val="5F5B11F2"/>
    <w:rsid w:val="5FAE20DE"/>
    <w:rsid w:val="5FBE45AD"/>
    <w:rsid w:val="5FBF7123"/>
    <w:rsid w:val="5FFEC131"/>
    <w:rsid w:val="60285208"/>
    <w:rsid w:val="605028B4"/>
    <w:rsid w:val="605D0E8A"/>
    <w:rsid w:val="608F2F7E"/>
    <w:rsid w:val="60AE69FA"/>
    <w:rsid w:val="6151078F"/>
    <w:rsid w:val="61523427"/>
    <w:rsid w:val="61DA69D6"/>
    <w:rsid w:val="61FD6C0F"/>
    <w:rsid w:val="623147F0"/>
    <w:rsid w:val="625463D5"/>
    <w:rsid w:val="62641AF5"/>
    <w:rsid w:val="628D1F1D"/>
    <w:rsid w:val="63337B75"/>
    <w:rsid w:val="63AC469A"/>
    <w:rsid w:val="63E07D64"/>
    <w:rsid w:val="63FC2C34"/>
    <w:rsid w:val="6449123E"/>
    <w:rsid w:val="64610CE9"/>
    <w:rsid w:val="64E669EC"/>
    <w:rsid w:val="65AD0920"/>
    <w:rsid w:val="65B337C6"/>
    <w:rsid w:val="65C77271"/>
    <w:rsid w:val="67677695"/>
    <w:rsid w:val="67752F88"/>
    <w:rsid w:val="679E18EF"/>
    <w:rsid w:val="67AE686C"/>
    <w:rsid w:val="67D634C0"/>
    <w:rsid w:val="67EF5AA7"/>
    <w:rsid w:val="68063442"/>
    <w:rsid w:val="684D1CB0"/>
    <w:rsid w:val="68B65AA7"/>
    <w:rsid w:val="69425446"/>
    <w:rsid w:val="69596176"/>
    <w:rsid w:val="6A165F9E"/>
    <w:rsid w:val="6A5B5FA8"/>
    <w:rsid w:val="6B673089"/>
    <w:rsid w:val="6B844529"/>
    <w:rsid w:val="6C3842A8"/>
    <w:rsid w:val="6CCB527C"/>
    <w:rsid w:val="6D4A0A3B"/>
    <w:rsid w:val="6DCA1ECD"/>
    <w:rsid w:val="6DCE5641"/>
    <w:rsid w:val="6E474E6C"/>
    <w:rsid w:val="6E630E33"/>
    <w:rsid w:val="6EA2262A"/>
    <w:rsid w:val="6EDE3C44"/>
    <w:rsid w:val="6F7B1EDD"/>
    <w:rsid w:val="6FFB62F2"/>
    <w:rsid w:val="701273B7"/>
    <w:rsid w:val="704450C1"/>
    <w:rsid w:val="70F37A5E"/>
    <w:rsid w:val="71B028C4"/>
    <w:rsid w:val="71C00F2C"/>
    <w:rsid w:val="71E50E41"/>
    <w:rsid w:val="71EB39A1"/>
    <w:rsid w:val="724636AF"/>
    <w:rsid w:val="726C6364"/>
    <w:rsid w:val="72AC3A77"/>
    <w:rsid w:val="72B60575"/>
    <w:rsid w:val="72C60B6F"/>
    <w:rsid w:val="732B3D6D"/>
    <w:rsid w:val="743648AB"/>
    <w:rsid w:val="749E72A5"/>
    <w:rsid w:val="74EC0BE3"/>
    <w:rsid w:val="74FD5179"/>
    <w:rsid w:val="75236DCA"/>
    <w:rsid w:val="752F770E"/>
    <w:rsid w:val="754C4F0E"/>
    <w:rsid w:val="756C6DAF"/>
    <w:rsid w:val="75AB6CB5"/>
    <w:rsid w:val="75BF7A43"/>
    <w:rsid w:val="762322A2"/>
    <w:rsid w:val="76416940"/>
    <w:rsid w:val="76984871"/>
    <w:rsid w:val="76E41A31"/>
    <w:rsid w:val="77075B40"/>
    <w:rsid w:val="772A4314"/>
    <w:rsid w:val="778124FA"/>
    <w:rsid w:val="78483400"/>
    <w:rsid w:val="795804B5"/>
    <w:rsid w:val="79AD176E"/>
    <w:rsid w:val="7A067C29"/>
    <w:rsid w:val="7A105802"/>
    <w:rsid w:val="7A147FDC"/>
    <w:rsid w:val="7AB15A89"/>
    <w:rsid w:val="7B0C2E79"/>
    <w:rsid w:val="7B133265"/>
    <w:rsid w:val="7B1E17B0"/>
    <w:rsid w:val="7B22252F"/>
    <w:rsid w:val="7B5D0004"/>
    <w:rsid w:val="7BBA1F6E"/>
    <w:rsid w:val="7BD04C7A"/>
    <w:rsid w:val="7C1415C2"/>
    <w:rsid w:val="7C2B36EC"/>
    <w:rsid w:val="7D3F5D2E"/>
    <w:rsid w:val="7D7F24E8"/>
    <w:rsid w:val="7DFD5281"/>
    <w:rsid w:val="7E2F510B"/>
    <w:rsid w:val="7EED3DCE"/>
    <w:rsid w:val="7EED7F6A"/>
    <w:rsid w:val="7FC00B62"/>
    <w:rsid w:val="7FFFB7EE"/>
    <w:rsid w:val="93EC4D4E"/>
    <w:rsid w:val="9BB3228E"/>
    <w:rsid w:val="9FBF3FBA"/>
    <w:rsid w:val="CCFF1478"/>
    <w:rsid w:val="DD15FF32"/>
    <w:rsid w:val="EBBF5960"/>
    <w:rsid w:val="EDEFBE34"/>
    <w:rsid w:val="F3BECF87"/>
    <w:rsid w:val="F9D8CF35"/>
    <w:rsid w:val="FCBE0C9C"/>
    <w:rsid w:val="FEBFDD46"/>
    <w:rsid w:val="FEEBC550"/>
    <w:rsid w:val="FFEEF370"/>
    <w:rsid w:val="FFFD39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Body Text First Indent 21"/>
    <w:basedOn w:val="3"/>
    <w:next w:val="1"/>
    <w:qFormat/>
    <w:uiPriority w:val="99"/>
    <w:pPr>
      <w:ind w:left="0" w:leftChars="0"/>
    </w:pPr>
  </w:style>
  <w:style w:type="paragraph" w:customStyle="1" w:styleId="3">
    <w:name w:val="Body Text Indent1"/>
    <w:basedOn w:val="1"/>
    <w:qFormat/>
    <w:uiPriority w:val="99"/>
    <w:pPr>
      <w:ind w:left="420" w:leftChars="200"/>
    </w:pPr>
    <w:rPr>
      <w:rFonts w:ascii="Times New Roman" w:hAnsi="Times New Roman" w:cs="Times New Roman"/>
    </w:rPr>
  </w:style>
  <w:style w:type="paragraph" w:styleId="4">
    <w:name w:val="Normal Indent"/>
    <w:basedOn w:val="1"/>
    <w:qFormat/>
    <w:uiPriority w:val="0"/>
    <w:pPr>
      <w:ind w:firstLine="420" w:firstLineChars="200"/>
    </w:pPr>
  </w:style>
  <w:style w:type="paragraph" w:styleId="5">
    <w:name w:val="Body Text"/>
    <w:basedOn w:val="1"/>
    <w:qFormat/>
    <w:uiPriority w:val="0"/>
  </w:style>
  <w:style w:type="paragraph" w:styleId="6">
    <w:name w:val="Plain Text"/>
    <w:basedOn w:val="1"/>
    <w:qFormat/>
    <w:uiPriority w:val="0"/>
    <w:rPr>
      <w:rFonts w:ascii="宋体" w:hAnsi="Courier New" w:cs="Courier New"/>
      <w:szCs w:val="21"/>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12">
    <w:name w:val="page number"/>
    <w:basedOn w:val="11"/>
    <w:qFormat/>
    <w:uiPriority w:val="0"/>
  </w:style>
  <w:style w:type="paragraph" w:customStyle="1" w:styleId="13">
    <w:name w:val="No Spacing_ad81b47b-6779-4c76-b471-79375858c8cb"/>
    <w:basedOn w:val="1"/>
    <w:qFormat/>
    <w:uiPriority w:val="0"/>
    <w:pPr>
      <w:ind w:firstLine="200" w:firstLineChars="200"/>
    </w:pPr>
  </w:style>
  <w:style w:type="paragraph" w:customStyle="1" w:styleId="14">
    <w:name w:val="正文首行缩进 21"/>
    <w:basedOn w:val="15"/>
    <w:next w:val="1"/>
    <w:qFormat/>
    <w:uiPriority w:val="0"/>
    <w:pPr>
      <w:ind w:firstLine="420"/>
    </w:pPr>
  </w:style>
  <w:style w:type="paragraph" w:customStyle="1" w:styleId="15">
    <w:name w:val="正文文本缩进1"/>
    <w:basedOn w:val="1"/>
    <w:next w:val="5"/>
    <w:qFormat/>
    <w:uiPriority w:val="0"/>
    <w:pPr>
      <w:spacing w:line="560" w:lineRule="exact"/>
      <w:ind w:firstLine="720" w:firstLineChars="200"/>
      <w:jc w:val="left"/>
    </w:pPr>
    <w:rPr>
      <w:rFonts w:eastAsia="仿宋"/>
      <w:sz w:val="28"/>
    </w:rPr>
  </w:style>
  <w:style w:type="character" w:customStyle="1" w:styleId="16">
    <w:name w:val="15"/>
    <w:basedOn w:val="11"/>
    <w:qFormat/>
    <w:uiPriority w:val="0"/>
    <w:rPr>
      <w:rFonts w:hint="default" w:ascii="Calibri" w:hAnsi="Calibri" w:eastAsia="宋体" w:cs="Times New Roman"/>
      <w:kern w:val="2"/>
      <w:sz w:val="21"/>
      <w:szCs w:val="21"/>
    </w:rPr>
  </w:style>
  <w:style w:type="character" w:customStyle="1" w:styleId="17">
    <w:name w:val="font11"/>
    <w:basedOn w:val="11"/>
    <w:qFormat/>
    <w:uiPriority w:val="0"/>
    <w:rPr>
      <w:rFonts w:hint="eastAsia" w:ascii="宋体" w:hAnsi="宋体" w:eastAsia="宋体" w:cs="宋体"/>
      <w:color w:val="000000"/>
      <w:sz w:val="18"/>
      <w:szCs w:val="18"/>
      <w:u w:val="none"/>
    </w:rPr>
  </w:style>
  <w:style w:type="character" w:customStyle="1" w:styleId="18">
    <w:name w:val="font41"/>
    <w:basedOn w:val="11"/>
    <w:qFormat/>
    <w:uiPriority w:val="0"/>
    <w:rPr>
      <w:rFonts w:hint="eastAsia" w:ascii="宋体" w:hAnsi="宋体" w:eastAsia="宋体" w:cs="宋体"/>
      <w:b/>
      <w:bCs/>
      <w:color w:val="000000"/>
      <w:sz w:val="18"/>
      <w:szCs w:val="18"/>
      <w:u w:val="none"/>
    </w:rPr>
  </w:style>
  <w:style w:type="character" w:customStyle="1" w:styleId="19">
    <w:name w:val="font31"/>
    <w:basedOn w:val="11"/>
    <w:qFormat/>
    <w:uiPriority w:val="0"/>
    <w:rPr>
      <w:rFonts w:hint="default" w:ascii="Times New Roman" w:hAnsi="Times New Roman" w:cs="Times New Roman"/>
      <w:color w:val="000000"/>
      <w:sz w:val="18"/>
      <w:szCs w:val="18"/>
      <w:u w:val="none"/>
    </w:rPr>
  </w:style>
  <w:style w:type="character" w:customStyle="1" w:styleId="20">
    <w:name w:val="font71"/>
    <w:basedOn w:val="11"/>
    <w:qFormat/>
    <w:uiPriority w:val="0"/>
    <w:rPr>
      <w:rFonts w:hint="default" w:ascii="Times New Roman" w:hAnsi="Times New Roman" w:cs="Times New Roman"/>
      <w:b/>
      <w:bCs/>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10750</Words>
  <Characters>10950</Characters>
  <Lines>0</Lines>
  <Paragraphs>0</Paragraphs>
  <TotalTime>3</TotalTime>
  <ScaleCrop>false</ScaleCrop>
  <LinksUpToDate>false</LinksUpToDate>
  <CharactersWithSpaces>11044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2024-01-04T05:37:00Z</dcterms:created>
  <dc:creator>Administrator</dc:creator>
  <cp:lastModifiedBy>雨晨</cp:lastModifiedBy>
  <cp:lastPrinted>2024-10-09T00:47:00Z</cp:lastPrinted>
  <dcterms:modified xsi:type="dcterms:W3CDTF">2024-10-22T00:25:24Z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EFDCE4CA56CB4745877C366E2A03DEE1_13</vt:lpwstr>
  </property>
</Properties>
</file>